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07" w:rsidRPr="00665254" w:rsidRDefault="0062672F" w:rsidP="00B37FDA">
      <w:pPr>
        <w:pStyle w:val="Zkladntext1"/>
        <w:spacing w:after="380"/>
        <w:jc w:val="both"/>
        <w:rPr>
          <w:b/>
          <w:noProof/>
          <w:sz w:val="32"/>
          <w:lang w:val="sk-SK" w:eastAsia="sk-SK" w:bidi="ar-SA"/>
        </w:rPr>
      </w:pPr>
      <w:bookmarkStart w:id="0" w:name="_GoBack"/>
      <w:bookmarkEnd w:id="0"/>
      <w:r w:rsidRPr="00665254">
        <w:rPr>
          <w:b/>
          <w:noProof/>
          <w:sz w:val="32"/>
          <w:lang w:val="sk-SK" w:eastAsia="sk-SK" w:bidi="ar-SA"/>
        </w:rPr>
        <w:t xml:space="preserve">POLITICKÝ CIEĽ 5 – </w:t>
      </w:r>
      <w:r w:rsidR="005F6DE6" w:rsidRPr="00665254">
        <w:rPr>
          <w:b/>
          <w:noProof/>
          <w:sz w:val="32"/>
          <w:lang w:val="sk-SK" w:eastAsia="sk-SK" w:bidi="ar-SA"/>
        </w:rPr>
        <w:t xml:space="preserve"> Európa bližšie k občanom vďaka podpore udržateľného a integrovaného rozvoja všetkých typov území a miestnych iniciatív</w:t>
      </w:r>
    </w:p>
    <w:p w:rsidR="0062672F" w:rsidRPr="00665254" w:rsidRDefault="005F6DE6" w:rsidP="0062672F">
      <w:pPr>
        <w:pStyle w:val="Zkladntext1"/>
        <w:shd w:val="clear" w:color="auto" w:fill="auto"/>
        <w:spacing w:after="0"/>
        <w:rPr>
          <w:b/>
          <w:lang w:val="sk-SK"/>
        </w:rPr>
      </w:pPr>
      <w:r w:rsidRPr="00665254">
        <w:rPr>
          <w:b/>
          <w:lang w:val="sk-SK"/>
        </w:rPr>
        <w:t xml:space="preserve"> Stratégia programu</w:t>
      </w:r>
    </w:p>
    <w:p w:rsidR="0062672F" w:rsidRPr="00665254" w:rsidRDefault="0062672F" w:rsidP="0062672F">
      <w:pPr>
        <w:pStyle w:val="Zkladntext1"/>
        <w:shd w:val="clear" w:color="auto" w:fill="auto"/>
        <w:spacing w:after="0"/>
        <w:rPr>
          <w:b/>
          <w:lang w:val="sk-SK"/>
        </w:rPr>
      </w:pPr>
    </w:p>
    <w:tbl>
      <w:tblPr>
        <w:tblStyle w:val="Mriekatabuky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134293" w:rsidRPr="00665254" w:rsidTr="0066370C">
        <w:tc>
          <w:tcPr>
            <w:tcW w:w="0" w:type="auto"/>
          </w:tcPr>
          <w:p w:rsidR="00A5123A" w:rsidRPr="00665254" w:rsidRDefault="00A5123A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Hlavné výzvy tohto cieľa politiky súdržnosti vo všeobecnosti zahŕňajú posilnenie a vybudovanie analyticko-strategických a administratívnych kapacít v územnej samospráve; aktívnejšie zapojenie občanov do verejných politík</w:t>
            </w:r>
            <w:r w:rsidR="004F3F03" w:rsidRPr="00665254">
              <w:rPr>
                <w:lang w:val="sk-SK"/>
              </w:rPr>
              <w:t xml:space="preserve"> a podpora otvoreného vládnutia samospráv</w:t>
            </w:r>
            <w:r w:rsidRPr="00665254">
              <w:rPr>
                <w:lang w:val="sk-SK"/>
              </w:rPr>
              <w:t>; vytváranie podmienok pre rozvoj občianskej spoločnosti a pre rozvoj silných, funkčných, udržateľných komunít, ktoré sa aktívne podieľajú na rozvoji regiónov; bezpečné fyzické prostredie; zdravý životný štýl obyvateľov územia kultúrne dedičstvo, komunitný rozvoj a udržateľný cestovný ruch s ohľadom na kultúrny a prírodný potenciál regiónov s prínosmi pre miestnu ekonomiku.</w:t>
            </w:r>
          </w:p>
          <w:p w:rsidR="00A5123A" w:rsidRPr="00665254" w:rsidRDefault="00A5123A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V regionálnom a miestnom rozvoji boli identifikované nasledovné výzvy: 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• </w:t>
            </w:r>
            <w:r w:rsidR="00A5123A" w:rsidRPr="00665254">
              <w:rPr>
                <w:lang w:val="sk-SK"/>
              </w:rPr>
              <w:t xml:space="preserve">potreba posilnenia integrovaného prístupu k sociálnemu, hospodárskemu a environmentálnemu rozvoju na regionálnej a miestnej úrovni prostredníctvom integrovaných územných investícií, ktoré v sebe integrujú možnosti všetkých politických cieľov,  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• </w:t>
            </w:r>
            <w:r w:rsidR="00A5123A" w:rsidRPr="00665254">
              <w:rPr>
                <w:lang w:val="sk-SK"/>
              </w:rPr>
              <w:t xml:space="preserve">nedostatok administratívnych kapacít na aplikovanie integrovaného riadenia rozvoja z úrovne samospráv vrátane strategického plánovania, rozhodovania založeného na dátach, otvoreného vládnutia a vytvárania medzisektorových partnerstiev, 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• </w:t>
            </w:r>
            <w:r w:rsidR="00A5123A" w:rsidRPr="00665254">
              <w:rPr>
                <w:lang w:val="sk-SK"/>
              </w:rPr>
              <w:t xml:space="preserve">prehlbujúca sa polarizácia spoločnosti, nárast populizmu, extrémizmu a radikalizácie, nedôvera v inštitúcie demokratického štátu, nízkej miery stotožnenia sa občanov s EÚ a nízka účinnosť verejných inštitúcií a verejnej správy v danej oblasti, 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• </w:t>
            </w:r>
            <w:r w:rsidR="00A5123A" w:rsidRPr="00665254">
              <w:rPr>
                <w:lang w:val="sk-SK"/>
              </w:rPr>
              <w:t xml:space="preserve">potreba zvýšenia bezpečnosti v súlade so stratégiou prevencie kriminality a relevantnými cieľmi týkajúcimi sa bezpečnosti, ako aj  súvisiacich verejných služieb vychádzajúcich zo strategických častí plánov hospodárskeho a sociálneho rozvoja na regionálnej a lokálnej úrovni, 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• </w:t>
            </w:r>
            <w:r w:rsidR="00A5123A" w:rsidRPr="00665254">
              <w:rPr>
                <w:lang w:val="sk-SK"/>
              </w:rPr>
              <w:t>potreba posilnenia komunitného rozvoja, rozvoja medziľudských vzťahov, znižovanie sociálneho vylúčenia prostredníctvom nového využitia mestských a vidieckych objektov v prospech komunít a aktívneho trávenia voľného času,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• </w:t>
            </w:r>
            <w:r w:rsidR="00A5123A" w:rsidRPr="00665254">
              <w:rPr>
                <w:lang w:val="sk-SK"/>
              </w:rPr>
              <w:t xml:space="preserve">nedostatok kvalitnej infraštruktúry pre pohybové a športové aktivity občanov, 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• </w:t>
            </w:r>
            <w:r w:rsidR="00A5123A" w:rsidRPr="00665254">
              <w:rPr>
                <w:lang w:val="sk-SK"/>
              </w:rPr>
              <w:t xml:space="preserve">potreba zabezpečiť udržateľný turizmus prostredníctvom zlepšenia atraktivity lokalít, ich prístupnosti a kvalitnejšieho poskytovania informácií pre návštevníkov, 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• </w:t>
            </w:r>
            <w:r w:rsidR="00A5123A" w:rsidRPr="00665254">
              <w:rPr>
                <w:lang w:val="sk-SK"/>
              </w:rPr>
              <w:t>využitie potenciálu kultúrnych pamiatok, ktoré sú v ohrozenom a dezolátnom stave,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• </w:t>
            </w:r>
            <w:r w:rsidR="00A5123A" w:rsidRPr="00665254">
              <w:rPr>
                <w:lang w:val="sk-SK"/>
              </w:rPr>
              <w:t>nevyužitá príležitosť kultúrneho dedičstva, kultúrnej infraštruktúry a kreatívneho priemyslu s cieľom posilniť ich turistický a edukatívny potenciál a potenciál komunitného rozvoja,</w:t>
            </w:r>
          </w:p>
          <w:p w:rsidR="00A5123A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lastRenderedPageBreak/>
              <w:t xml:space="preserve">• </w:t>
            </w:r>
            <w:r w:rsidR="00A5123A" w:rsidRPr="00665254">
              <w:rPr>
                <w:lang w:val="sk-SK"/>
              </w:rPr>
              <w:t xml:space="preserve">potreba zabezpečiť projekt EHMK 2026 v súlade s európskymi štandardmi.   </w:t>
            </w:r>
          </w:p>
          <w:p w:rsidR="00A5123A" w:rsidRPr="00665254" w:rsidRDefault="00A5123A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Hlavným nástrojom pri riešení identifikovaných výziev budú integrované územné investície realizované prostredníctvom integrovaných územných stratégií. Pre kvalitný výkon verejných politík potrebujeme budovať analyticko-strategické kapacity miestnych a regionálnych orgánov</w:t>
            </w:r>
            <w:r w:rsidR="004F3F03" w:rsidRPr="00665254">
              <w:rPr>
                <w:lang w:val="sk-SK"/>
              </w:rPr>
              <w:t>, ako aj podporovať kapacity samospráv pre otvorené vládnutie</w:t>
            </w:r>
            <w:r w:rsidRPr="00665254">
              <w:rPr>
                <w:lang w:val="sk-SK"/>
              </w:rPr>
              <w:t>. Kvalitné analytické výstupy sú základom strategického plánovania a prípravy strategických dokumentov v kompetencii samosprávy; ich absencia môže mať nepriaznivý dopad na úspešnosť integrovaných územných stratégií, ktoré predstavujú základ realizácie programového obdobia 2021 – 2027 na danom území. Je preto potrebné zamerať sa na efektivitu procesov hodnotenia s cieľom pripraviť vstupy do reformných politík, hodnotiť dopady politík a legislatívy, resp. zabezpečovať projektov</w:t>
            </w:r>
            <w:r w:rsidR="004F3F03" w:rsidRPr="00665254">
              <w:rPr>
                <w:lang w:val="sk-SK"/>
              </w:rPr>
              <w:t>é riadenie reformných procesov.</w:t>
            </w:r>
            <w:r w:rsidR="00C5799B" w:rsidRPr="00665254">
              <w:rPr>
                <w:lang w:val="sk-SK"/>
              </w:rPr>
              <w:t xml:space="preserve"> </w:t>
            </w:r>
          </w:p>
          <w:p w:rsidR="00A5123A" w:rsidRPr="00665254" w:rsidRDefault="00A5123A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Hlavnými cieľovými skupinami budú zamestnanci samosprávy v útvaroch pripravujúcich analytické a strategické dokumenty (napr. útvary mestského, resp. regionálneho rozvoja); z podpory tejto priority bude profitovať aj vedenie miest a regiónov, ako aj poslanci mestských a regionálnych zastupiteľstiev. Výstupy útvarov mestského alebo regionálneho rozvoja sú základom pre tvorbu politík s dopadom na každodenný život občanov. V procese dlhodobého budovania a posilňovania analyticko-strategických kapacít hrá kľúčovú úlohu dlhodobé, resp. celoživotné vzdelávanie pracovníkov na všetkých úrovniach verejnej správy, počas ktorého získajú potrebné zručnosti, a taktiež ich adekvátne ohodnotenie. V súlade s identifikovanými potrebami a riešeniami by mala regionálna a miestna samospráva zapojiť do životného cyklu verejných politík vhodnými spôsobmi aj občiansku spoločnosť a jej zástupcov</w:t>
            </w:r>
            <w:r w:rsidR="00AB18A9" w:rsidRPr="00665254">
              <w:rPr>
                <w:lang w:val="sk-SK"/>
              </w:rPr>
              <w:t xml:space="preserve"> (vrátane marginalizovaných skupí</w:t>
            </w:r>
            <w:r w:rsidR="009B27A9" w:rsidRPr="00665254">
              <w:rPr>
                <w:lang w:val="sk-SK"/>
              </w:rPr>
              <w:t>n</w:t>
            </w:r>
            <w:r w:rsidR="00AB18A9" w:rsidRPr="00665254">
              <w:rPr>
                <w:lang w:val="sk-SK"/>
              </w:rPr>
              <w:t>)</w:t>
            </w:r>
            <w:r w:rsidRPr="00665254">
              <w:rPr>
                <w:lang w:val="sk-SK"/>
              </w:rPr>
              <w:t xml:space="preserve">, ako aj socioekonomických partnerov. </w:t>
            </w:r>
          </w:p>
          <w:p w:rsidR="00A5123A" w:rsidRPr="00665254" w:rsidRDefault="00A5123A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Prehlbujúcu sa polarizáciu spoločnosti, nedostatočne rozvinuté komunity a medziľudské vzťahy je potrebné riešiť pomocou investícií do rozvoja občianskej spoločnosti v kontexte budovania odolnejšej demokracie. Hlavnými nástrojmi riešenia bude predovšetkým osveta, vzdelávanie a budovanie kapacít k participácii a aktívnemu občianstvu, podpora aktivizmu, občianskych iniciatív, komunitného organizovania, dobrovoľníctva, podpora medzisektorových partnerstiev a sieťovania, zameraných na kvalitnejšiu spoluprácu, komunikáciu a participáciu. Pri zvyšovaní odolnosti demokracie budú osobitnú úlohu zohrávať nástroje boja proti nenávistnému diskurzu a</w:t>
            </w:r>
            <w:r w:rsidR="00AB18A9" w:rsidRPr="00665254">
              <w:rPr>
                <w:lang w:val="sk-SK"/>
              </w:rPr>
              <w:t> </w:t>
            </w:r>
            <w:r w:rsidRPr="00665254">
              <w:rPr>
                <w:lang w:val="sk-SK"/>
              </w:rPr>
              <w:t>dezinformáciám</w:t>
            </w:r>
            <w:r w:rsidR="00AB18A9" w:rsidRPr="00665254">
              <w:rPr>
                <w:lang w:val="sk-SK"/>
              </w:rPr>
              <w:t xml:space="preserve"> (ako je protirómsky rasizmus)</w:t>
            </w:r>
            <w:r w:rsidRPr="00665254">
              <w:rPr>
                <w:lang w:val="sk-SK"/>
              </w:rPr>
              <w:t>, ako napr. zvyšovanie zručností v oblasti konštruktívneho dialógu a v predchádzaní konfliktov, prevencia radikalizácie a zvýšenie pripravenosti verejnej správy reagovať na radikalizáciu spoločnosti, vrátane identifikácie regionálnych a miestnych deradikalizačných opatrení. Úlohou občianskej spoločnosti je aj rozvoj a podpora programov na zvyšovanie mediálnej gramotnosti a kritického myslenia občanov ako aj zamestnancov verejnej správy a podpora osvetových a mobilizačných kampaní zameraných na depolarizáciu, búranie predsudkov, budovanie medziľudských vzťahov a komunít.</w:t>
            </w:r>
          </w:p>
          <w:p w:rsidR="00DE265E" w:rsidRPr="00665254" w:rsidRDefault="0062672F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Politický cieľ</w:t>
            </w:r>
            <w:r w:rsidR="00A5123A" w:rsidRPr="00665254">
              <w:rPr>
                <w:lang w:val="sk-SK"/>
              </w:rPr>
              <w:t xml:space="preserve"> 5 bude reagovať aj na ďalšiu výzvu v oblasti bezpečnosti, a to je ochrana zdravia, života a majetku občanov, prevencia kriminality, poskytovanie služieb a pomoci pre obete trestných činov, resp. zvýšenie povedomia a informovanosti občanov, a to najmä v zaostávajúcich regiónoch. Uvedené ciele možno dosiahnuť vybudovaním príslušnej infraštruktúry (napr. kamerové systémy) a uplatňovaním preventívnych opatrení, ktoré sa zameriavajú na zvyšovanie bezpečnosti obyvateľov a návštevníkov miest a obcí, a podporou strategických činností a analýz na regionálnej úrovni, ktorých cieľom je zhodnotiť účinky realizovaných opatrení. Nevyhnutné bude taktiež zlepšiť preventívnu informovanosť rizikových skupín obyvateľstva a vypracovať analýzy bezpečnostnej situácie, zabezpečiť pravidelné monitorovanie a vzdelávať odborných zamestnancov v </w:t>
            </w:r>
            <w:r w:rsidR="00A5123A" w:rsidRPr="00665254">
              <w:rPr>
                <w:lang w:val="sk-SK"/>
              </w:rPr>
              <w:lastRenderedPageBreak/>
              <w:t xml:space="preserve">oblasti prevencie kriminality. Zvyšovanie bezpečnosti občanov predstavuje jeden zo základných predpokladov rozvoja spoločnosti, kvality života obyvateľov v mestách a obciach, podnikateľského prostredia a rozvoja cestovného ruchu. </w:t>
            </w:r>
          </w:p>
          <w:p w:rsidR="005439CE" w:rsidRPr="00665254" w:rsidRDefault="00A5123A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V oblasti regionálnej infraštruktúry pre pohybové aktivity a šport pre všetkých je cieľom zlepšenie zdravia občanov a zvýšiť záujem o pravidelné športovanie obyvateľstva. Aktuálny nedostatok a slabé vybavenie športových zariadení a chýbajúce podmienky na realizáciu športovej činnosti pre seniorov a občanov so zdravotným postihnutím sú dôsledkom prioritizácie v minulosti. Slovensko do regionálnej športovej infraštruktúry neinvestovalo desaťročia a množstvo športovísk zaniklo. Cieľom tohto opatrenia je budovanie a rekonštrukcia nenáročných športových a telovýchovných objektov, najmä viacúčelových športových areálov a športovísk, ktoré sú mimo ich využitia miestnymi športovými organizáciami a športovcami k dispozícii aj verejnosti pre ich pohybové a športové aktivity. Cieľom je podpora medzigeneračného stretávania sa a trávenia voľného času komunít žijúcich v blízkosti športovísk, vrátane seniorov, či zdravotne postihnutých občanov. Vedľajším efektu bude tvorba lokálnych pracovných miest najmä v sektore služieb. Budovanie regionálnej športovej infraštruktúry bude úzko prepojené s výstavbou školskej športovej infraštruktúry v Politickom cieli 4 a bude v maximálnej miere zohľadňovať štandardy debarierizácie, energetickej efektívnosti a trvalej udržateľnosti.</w:t>
            </w:r>
            <w:r w:rsidR="005439CE" w:rsidRPr="00665254">
              <w:rPr>
                <w:lang w:val="sk-SK"/>
              </w:rPr>
              <w:t xml:space="preserve"> </w:t>
            </w:r>
          </w:p>
          <w:p w:rsidR="00A5123A" w:rsidRPr="00665254" w:rsidRDefault="005439CE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Európska iniciatíva Catching up regions prostredníctvom špecifických aktivít prispeje k rozvoju turistickej infraštruktúry a udržateľného cestovného ruchu aj v dobiehajúcich regiónoch. </w:t>
            </w:r>
            <w:r w:rsidR="00A5123A" w:rsidRPr="00665254">
              <w:rPr>
                <w:lang w:val="sk-SK"/>
              </w:rPr>
              <w:t>Podpora kultúrneho dedičstva, komunitného rozvoja a udržateľného cestovného ruchu bude orientovaná na revitalizáciu, odbornú infraštruktúru, vybavenie a rozvoj destinačného manažmentu regiónov. Cieľom je využiť ich endogénny potenciál. Aktíva, ktoré v území existujú, je potrebné zveľaďovať a zároveň je to dôležitý prvok</w:t>
            </w:r>
            <w:r w:rsidRPr="00665254">
              <w:rPr>
                <w:lang w:val="sk-SK"/>
              </w:rPr>
              <w:t xml:space="preserve"> pri rozvoji lokálnych ekonomík a posilňovaní konkurencieschopnosti regiónov.</w:t>
            </w:r>
            <w:r w:rsidR="00A5123A" w:rsidRPr="00665254">
              <w:rPr>
                <w:lang w:val="sk-SK"/>
              </w:rPr>
              <w:t xml:space="preserve"> Súčasťou podpory by mala byť koordinácia existujúcich aktivít v území, efektívnejšie využitie existujúcich príležitostí a udržanie konkurenčnej výhody danej destinácie. To zahŕňa rekonštrukciu národných kultúrnych pamiatok, efektívnejšie a intenzívnejšie využívanie kultúrnych pamiatok, historických a prírodných lokalít, pamiatkových objektov a nevyužívaných objektov. Dôraz bude kladený na popularizáciu tradícií a histórie, umenia a kultúry s cieľom posilniť ich edukatívny potenciál, atraktivitu regiónov a zlepšiť podmienky pre kultúru, umenie a komunitné aktivity. </w:t>
            </w:r>
          </w:p>
          <w:p w:rsidR="00A5123A" w:rsidRPr="00665254" w:rsidRDefault="00A5123A" w:rsidP="00A5123A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Cieľom je širšie sprístupňovanie kultúrneho dedičstva verejnosti a kreatívnemu priemyslu, rozvoj miestnej a regionálnej kultúry, kultúry národnostných menšín ako aj komunitný rozvoj v území.</w:t>
            </w:r>
          </w:p>
          <w:p w:rsidR="005B6F37" w:rsidRPr="00665254" w:rsidRDefault="00A5123A" w:rsidP="005439CE">
            <w:pPr>
              <w:pStyle w:val="Zkladntext1"/>
              <w:pBdr>
                <w:top w:val="single" w:sz="4" w:space="0" w:color="auto"/>
                <w:left w:val="single" w:sz="4" w:space="0" w:color="auto"/>
                <w:bottom w:val="single" w:sz="4" w:space="31" w:color="auto"/>
                <w:right w:val="single" w:sz="4" w:space="0" w:color="auto"/>
              </w:pBdr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Cieľom aktivít je ochrániť a rozvíjať potenciál kultúrnych, prírodných a iných aktív regiónov a využiť ho na vyvážený rozvoj územia s pozitívnymi dopadmi na miestnu, či regionálnu zamestnanosť a miestne podnikateľské prostredie.</w:t>
            </w:r>
            <w:r w:rsidR="005439CE" w:rsidRPr="00665254">
              <w:rPr>
                <w:lang w:val="sk-SK"/>
              </w:rPr>
              <w:t xml:space="preserve"> </w:t>
            </w:r>
            <w:r w:rsidR="005B6F37" w:rsidRPr="00665254">
              <w:rPr>
                <w:lang w:val="sk-SK"/>
              </w:rPr>
              <w:t>Podporené aktivity v oblasti turizmu a komunitného rozvoja by mali okrem uvedeného viesť aj k lepšej dostupnosti a obslužnosti regionálnych turisticky zaujímavých destinácií – kultúrnych a prírodných aktív, ako aj k lepšej marketingovej prezentácii a propagácii prírodne, kultúrne a historicky zaujímavých lokalít.</w:t>
            </w:r>
          </w:p>
          <w:p w:rsidR="0066370C" w:rsidRPr="00665254" w:rsidRDefault="005439CE" w:rsidP="005439CE">
            <w:pPr>
              <w:pStyle w:val="Zhlavie10"/>
              <w:keepNext/>
              <w:keepLines/>
              <w:shd w:val="clear" w:color="auto" w:fill="auto"/>
              <w:ind w:firstLine="0"/>
              <w:rPr>
                <w:b/>
                <w:lang w:val="sk-SK"/>
              </w:rPr>
            </w:pPr>
            <w:r w:rsidRPr="00665254">
              <w:rPr>
                <w:b/>
                <w:lang w:val="sk-SK"/>
              </w:rPr>
              <w:t>Tab</w:t>
            </w:r>
            <w:r w:rsidR="005F6DE6" w:rsidRPr="00665254">
              <w:rPr>
                <w:b/>
                <w:lang w:val="sk-SK"/>
              </w:rPr>
              <w:t>uľka 1</w:t>
            </w:r>
          </w:p>
        </w:tc>
      </w:tr>
    </w:tbl>
    <w:tbl>
      <w:tblPr>
        <w:tblpPr w:leftFromText="141" w:rightFromText="141" w:vertAnchor="text" w:horzAnchor="margin" w:tblpY="-16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0"/>
        <w:gridCol w:w="2918"/>
        <w:gridCol w:w="3958"/>
      </w:tblGrid>
      <w:tr w:rsidR="00EA1721" w:rsidRPr="00665254" w:rsidTr="0010265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70C" w:rsidRPr="00665254" w:rsidRDefault="005F6DE6" w:rsidP="005805A3">
            <w:pPr>
              <w:pStyle w:val="In0"/>
              <w:shd w:val="clear" w:color="auto" w:fill="auto"/>
              <w:rPr>
                <w:b/>
                <w:lang w:val="sk-SK"/>
              </w:rPr>
            </w:pPr>
            <w:bookmarkStart w:id="1" w:name="bookmark2"/>
            <w:bookmarkStart w:id="2" w:name="bookmark3"/>
            <w:r w:rsidRPr="00665254">
              <w:rPr>
                <w:b/>
                <w:lang w:val="sk-SK"/>
              </w:rPr>
              <w:lastRenderedPageBreak/>
              <w:t xml:space="preserve">Cieľ politiky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70C" w:rsidRPr="00665254" w:rsidRDefault="005F6DE6" w:rsidP="005805A3">
            <w:pPr>
              <w:pStyle w:val="In0"/>
              <w:shd w:val="clear" w:color="auto" w:fill="auto"/>
              <w:spacing w:line="226" w:lineRule="auto"/>
              <w:rPr>
                <w:b/>
                <w:lang w:val="sk-SK"/>
              </w:rPr>
            </w:pPr>
            <w:r w:rsidRPr="00665254">
              <w:rPr>
                <w:b/>
                <w:lang w:val="sk-SK"/>
              </w:rPr>
              <w:t xml:space="preserve"> Špecifický cieľ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C" w:rsidRPr="00665254" w:rsidRDefault="005F6DE6" w:rsidP="005805A3">
            <w:pPr>
              <w:pStyle w:val="In0"/>
              <w:shd w:val="clear" w:color="auto" w:fill="auto"/>
              <w:rPr>
                <w:b/>
                <w:lang w:val="sk-SK"/>
              </w:rPr>
            </w:pPr>
            <w:r w:rsidRPr="00665254">
              <w:rPr>
                <w:b/>
                <w:lang w:val="sk-SK"/>
              </w:rPr>
              <w:t>Odôvodnenie (zhrnutie)</w:t>
            </w:r>
          </w:p>
        </w:tc>
      </w:tr>
      <w:tr w:rsidR="00EA1721" w:rsidRPr="00665254" w:rsidTr="00102659">
        <w:trPr>
          <w:trHeight w:hRule="exact" w:val="10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70C" w:rsidRPr="00665254" w:rsidRDefault="0066370C" w:rsidP="00102659">
            <w:pPr>
              <w:rPr>
                <w:rFonts w:ascii="Times New Roman" w:hAnsi="Times New Roman" w:cs="Times New Roman"/>
                <w:b/>
                <w:iCs/>
                <w:lang w:val="sk-SK"/>
              </w:rPr>
            </w:pPr>
          </w:p>
          <w:p w:rsidR="0066370C" w:rsidRPr="00665254" w:rsidRDefault="005F6DE6" w:rsidP="00102659">
            <w:pPr>
              <w:rPr>
                <w:rFonts w:ascii="Times New Roman" w:hAnsi="Times New Roman" w:cs="Times New Roman"/>
                <w:lang w:val="sk-SK"/>
              </w:rPr>
            </w:pPr>
            <w:r w:rsidRPr="00665254">
              <w:rPr>
                <w:rFonts w:ascii="Times New Roman" w:hAnsi="Times New Roman" w:cs="Times New Roman"/>
                <w:lang w:val="sk-SK"/>
              </w:rPr>
              <w:t>Európa bližšie k občanom vďaka podpore udržateľného a integrovaného rozvoja všetkých typov území a miestnych iniciatív (CP5)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70C" w:rsidRPr="00665254" w:rsidRDefault="0066370C" w:rsidP="00102659">
            <w:pPr>
              <w:rPr>
                <w:rFonts w:ascii="Times New Roman" w:hAnsi="Times New Roman" w:cs="Times New Roman"/>
                <w:lang w:val="sk-SK"/>
              </w:rPr>
            </w:pPr>
          </w:p>
          <w:p w:rsidR="005F6DE6" w:rsidRPr="00665254" w:rsidRDefault="005F6DE6" w:rsidP="00102659">
            <w:pPr>
              <w:rPr>
                <w:rFonts w:ascii="Times New Roman" w:hAnsi="Times New Roman" w:cs="Times New Roman"/>
                <w:lang w:val="sk-SK"/>
              </w:rPr>
            </w:pPr>
            <w:r w:rsidRPr="00665254">
              <w:rPr>
                <w:rFonts w:ascii="Times New Roman" w:hAnsi="Times New Roman" w:cs="Times New Roman"/>
                <w:lang w:val="sk-SK"/>
              </w:rPr>
              <w:t xml:space="preserve"> Podpora</w:t>
            </w:r>
            <w:r w:rsidR="00EA1721" w:rsidRPr="00665254">
              <w:rPr>
                <w:rFonts w:ascii="Times New Roman" w:hAnsi="Times New Roman" w:cs="Times New Roman"/>
                <w:lang w:val="sk-SK"/>
              </w:rPr>
              <w:t xml:space="preserve"> integrovaného a inkluzívneho sociálneho, hospodárskeho a </w:t>
            </w:r>
            <w:r w:rsidR="00435CDA" w:rsidRPr="00665254">
              <w:rPr>
                <w:rFonts w:ascii="Times New Roman" w:hAnsi="Times New Roman" w:cs="Times New Roman"/>
                <w:lang w:val="sk-SK"/>
              </w:rPr>
              <w:t>environmentálneho</w:t>
            </w:r>
            <w:r w:rsidR="00EA1721" w:rsidRPr="00665254">
              <w:rPr>
                <w:rFonts w:ascii="Times New Roman" w:hAnsi="Times New Roman" w:cs="Times New Roman"/>
                <w:lang w:val="sk-SK"/>
              </w:rPr>
              <w:t xml:space="preserve"> rozvoja, kultúry, prírodného dedičstva, udržateľného cestovného ruchu  </w:t>
            </w:r>
            <w:r w:rsidR="00435CDA" w:rsidRPr="00665254">
              <w:rPr>
                <w:rFonts w:ascii="Times New Roman" w:hAnsi="Times New Roman" w:cs="Times New Roman"/>
                <w:lang w:val="sk-SK"/>
              </w:rPr>
              <w:t>bezpečnosti</w:t>
            </w:r>
            <w:r w:rsidR="00EA1721" w:rsidRPr="00665254">
              <w:rPr>
                <w:rFonts w:ascii="Times New Roman" w:hAnsi="Times New Roman" w:cs="Times New Roman"/>
                <w:lang w:val="sk-SK"/>
              </w:rPr>
              <w:t xml:space="preserve"> v </w:t>
            </w:r>
            <w:r w:rsidR="00435CDA" w:rsidRPr="00665254">
              <w:rPr>
                <w:rFonts w:ascii="Times New Roman" w:hAnsi="Times New Roman" w:cs="Times New Roman"/>
                <w:lang w:val="sk-SK"/>
              </w:rPr>
              <w:t>mestských</w:t>
            </w:r>
            <w:r w:rsidR="00EA1721" w:rsidRPr="00665254">
              <w:rPr>
                <w:rFonts w:ascii="Times New Roman" w:hAnsi="Times New Roman" w:cs="Times New Roman"/>
                <w:lang w:val="sk-SK"/>
              </w:rPr>
              <w:t xml:space="preserve"> oblastiach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C" w:rsidRPr="00665254" w:rsidRDefault="00A5123A" w:rsidP="005805A3">
            <w:pPr>
              <w:pStyle w:val="In0"/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 xml:space="preserve">V rámci tohto špecifického cieľa budú podporované všetky aktivity v zmysle navrhnutej stratégie, ktoré budú cielené do mestských oblastí. Územia mestských oblastí budú zhodné s územiami udržateľného mestského rozvoja (UMR). V programovom období 2021-2027 budú v SR zo zdrojov EÚ - špecificky pre podporu území UMR z EFRR - podporené územia, ktoré budú mať vypracovanú integrovanú územnú stratégiu pre dané územie UMR v súlade s metodikou. Územia UMR sú koordinovanou, ale autonómnou súčasťou nástroja IÚS a IÚI samosprávnych krajov v kontexte PD SR a OP Slovensko. Jedná sa o nasledujúce územia UMR (zoznam sa môže počas vyjednávaní OP Slovensko mierne zmeniť: UMR Bratislava, UMR Košice, UMR Prešov, UMR Nitra, UMR Žilina, UMR Martin, UMR Trenčín, UMR Banská Bystrica, UMR Zvolen, UMR Trnava, UMR Ružomberok – Liptovský Mikuláš, UMR Michalovce, UMR Poprad – Svit </w:t>
            </w:r>
            <w:r w:rsidR="00CF45C6">
              <w:rPr>
                <w:lang w:val="sk-SK"/>
              </w:rPr>
              <w:t>–</w:t>
            </w:r>
            <w:r w:rsidRPr="00665254">
              <w:rPr>
                <w:lang w:val="sk-SK"/>
              </w:rPr>
              <w:t xml:space="preserve"> Kežmarok</w:t>
            </w:r>
            <w:r w:rsidR="00CF45C6">
              <w:rPr>
                <w:lang w:val="sk-SK"/>
              </w:rPr>
              <w:t>-Vysoké Tatry</w:t>
            </w:r>
            <w:r w:rsidRPr="00665254">
              <w:rPr>
                <w:lang w:val="sk-SK"/>
              </w:rPr>
              <w:t>, UMR Humenné, UMR Lučenec, UMR Rimavská Sobota, UMR Prievidza – Nováky.</w:t>
            </w:r>
          </w:p>
          <w:p w:rsidR="0038091A" w:rsidRPr="00665254" w:rsidRDefault="0038091A" w:rsidP="005805A3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  <w:p w:rsidR="0066370C" w:rsidRPr="00665254" w:rsidRDefault="0066370C" w:rsidP="005805A3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Aktivity budú pôsobiť komplementárne k špecifickým cieľom ostatných cieľov politiky a to aj s ohľadom na integrovaný a komplexný prístup nástroja ITI.</w:t>
            </w:r>
          </w:p>
        </w:tc>
      </w:tr>
      <w:tr w:rsidR="00EA1721" w:rsidRPr="00665254" w:rsidTr="00102659">
        <w:trPr>
          <w:trHeight w:hRule="exact" w:val="3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70C" w:rsidRPr="00665254" w:rsidRDefault="0066370C" w:rsidP="005805A3">
            <w:pPr>
              <w:rPr>
                <w:b/>
                <w:i/>
                <w:iCs/>
                <w:lang w:val="sk-SK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70C" w:rsidRPr="00665254" w:rsidRDefault="00435CDA" w:rsidP="00102659">
            <w:pPr>
              <w:rPr>
                <w:i/>
                <w:lang w:val="sk-SK"/>
              </w:rPr>
            </w:pPr>
            <w:r w:rsidRPr="00665254">
              <w:rPr>
                <w:rFonts w:ascii="Times New Roman" w:hAnsi="Times New Roman" w:cs="Times New Roman"/>
                <w:lang w:val="sk-SK"/>
              </w:rPr>
              <w:t>Podpora integrovaného a inkluzívneho sociálneho, hospodárskeho a environmentálneho rozvoja, kultúry, prírodného dedičstva, udržateľného cestovného ruchu  bezpečnosti v</w:t>
            </w:r>
            <w:r w:rsidR="00C1612E" w:rsidRPr="00665254">
              <w:rPr>
                <w:rFonts w:ascii="Times New Roman" w:hAnsi="Times New Roman" w:cs="Times New Roman"/>
                <w:lang w:val="sk-SK"/>
              </w:rPr>
              <w:t> iných ako</w:t>
            </w:r>
            <w:r w:rsidRPr="00665254">
              <w:rPr>
                <w:rFonts w:ascii="Times New Roman" w:hAnsi="Times New Roman" w:cs="Times New Roman"/>
                <w:lang w:val="sk-SK"/>
              </w:rPr>
              <w:t xml:space="preserve"> mestských oblastiach</w:t>
            </w:r>
            <w:r w:rsidRPr="00665254" w:rsidDel="00435CDA">
              <w:rPr>
                <w:rFonts w:ascii="Times New Roman" w:hAnsi="Times New Roman" w:cs="Times New Roman"/>
                <w:iCs/>
                <w:lang w:val="sk-SK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C" w:rsidRPr="00665254" w:rsidRDefault="0066370C" w:rsidP="005805A3">
            <w:pPr>
              <w:pStyle w:val="In0"/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V rámci tohto špecifického cieľa budú podporované všetky aktivity v zmysle navrhnutej stratégie, ktoré budú cielené do iných ako mestských oblastí zhodných s územiami udržateľného mestského rozvoja (UMR) v zmysle špecifického cieľa 5.i).</w:t>
            </w:r>
          </w:p>
          <w:p w:rsidR="0066370C" w:rsidRPr="00665254" w:rsidRDefault="0066370C" w:rsidP="005805A3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665254">
              <w:rPr>
                <w:lang w:val="sk-SK"/>
              </w:rPr>
              <w:t>Aktivity budú pôsobiť komplementárne k špecifickým cieľom ostatných cieľov politiky a to aj s ohľadom na integrovaný a komplexný prístup nástroja ITI.</w:t>
            </w:r>
          </w:p>
        </w:tc>
      </w:tr>
      <w:bookmarkEnd w:id="1"/>
      <w:bookmarkEnd w:id="2"/>
    </w:tbl>
    <w:p w:rsidR="00C1612E" w:rsidRPr="00665254" w:rsidRDefault="00C1612E" w:rsidP="0038091A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  <w:lang w:val="sk-SK"/>
        </w:rPr>
      </w:pPr>
    </w:p>
    <w:p w:rsidR="00341883" w:rsidRPr="00665254" w:rsidRDefault="00C1612E" w:rsidP="0038091A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  <w:lang w:val="sk-SK"/>
        </w:rPr>
      </w:pPr>
      <w:r w:rsidRPr="00665254">
        <w:rPr>
          <w:b/>
          <w:sz w:val="36"/>
          <w:lang w:val="sk-SK"/>
        </w:rPr>
        <w:t>Špecifický cieľ 5.1: Podpora integrovaného a inkluzívneho sociálneho, hospodárskeho a environmentálneho rozvoja, kultúry, prírodného dedičstva, udržateľného cestovného ruchu  bezpečnosti v mestských oblastiach</w:t>
      </w:r>
      <w:r w:rsidRPr="00665254" w:rsidDel="00C1612E">
        <w:rPr>
          <w:b/>
          <w:sz w:val="36"/>
          <w:lang w:val="sk-SK"/>
        </w:rPr>
        <w:t xml:space="preserve"> </w:t>
      </w:r>
    </w:p>
    <w:p w:rsidR="0038091A" w:rsidRPr="00665254" w:rsidRDefault="0038091A" w:rsidP="0038091A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  <w:lang w:val="sk-SK"/>
        </w:rPr>
      </w:pPr>
    </w:p>
    <w:p w:rsidR="00341883" w:rsidRPr="00665254" w:rsidRDefault="00C1612E" w:rsidP="0038091A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  <w:lang w:val="sk-SK"/>
        </w:rPr>
      </w:pPr>
      <w:r w:rsidRPr="00665254">
        <w:rPr>
          <w:b/>
          <w:sz w:val="36"/>
          <w:lang w:val="sk-SK"/>
        </w:rPr>
        <w:t xml:space="preserve">Špecifický cieľ 5.2: Podpora integrovaného a inkluzívneho sociálneho, hospodárskeho a environmentálneho rozvoja, kultúry, prírodného dedičstva, udržateľného cestovného ruchu bezpečnosti v iných ako mestských oblastiach </w:t>
      </w:r>
    </w:p>
    <w:p w:rsidR="0038091A" w:rsidRPr="00665254" w:rsidRDefault="0038091A" w:rsidP="0062672F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  <w:lang w:val="sk-SK"/>
        </w:rPr>
      </w:pPr>
      <w:bookmarkStart w:id="3" w:name="bookmark10"/>
      <w:bookmarkStart w:id="4" w:name="bookmark11"/>
    </w:p>
    <w:p w:rsidR="0062672F" w:rsidRPr="00665254" w:rsidRDefault="0062672F" w:rsidP="0062672F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  <w:lang w:val="sk-SK"/>
        </w:rPr>
      </w:pPr>
      <w:r w:rsidRPr="00665254">
        <w:rPr>
          <w:b/>
          <w:sz w:val="36"/>
          <w:lang w:val="sk-SK"/>
        </w:rPr>
        <w:t>PRIORITA - MODERNÉ REGIÓNY</w:t>
      </w:r>
    </w:p>
    <w:bookmarkEnd w:id="3"/>
    <w:bookmarkEnd w:id="4"/>
    <w:p w:rsidR="0038091A" w:rsidRPr="00665254" w:rsidRDefault="0038091A" w:rsidP="00A5123A">
      <w:pPr>
        <w:pStyle w:val="Zkladntext1"/>
        <w:spacing w:after="180"/>
        <w:jc w:val="both"/>
        <w:rPr>
          <w:b/>
          <w:lang w:val="sk-SK"/>
        </w:rPr>
      </w:pPr>
    </w:p>
    <w:p w:rsidR="0038091A" w:rsidRPr="00665254" w:rsidRDefault="0038091A" w:rsidP="00A5123A">
      <w:pPr>
        <w:pStyle w:val="Zkladntext1"/>
        <w:spacing w:after="180"/>
        <w:jc w:val="both"/>
        <w:rPr>
          <w:b/>
          <w:lang w:val="sk-SK"/>
        </w:rPr>
      </w:pPr>
      <w:r w:rsidRPr="00665254">
        <w:rPr>
          <w:b/>
          <w:lang w:val="sk-SK"/>
        </w:rPr>
        <w:t xml:space="preserve">5.1.1/5.2.1 </w:t>
      </w:r>
      <w:r w:rsidR="00A5123A" w:rsidRPr="00665254">
        <w:rPr>
          <w:b/>
          <w:lang w:val="sk-SK"/>
        </w:rPr>
        <w:t xml:space="preserve">Investície do rozvoja administratívnych a analyticko-strategických kapacít miestnych a regionálnych orgánov vychádzajúc zo skúsenosti s podporou analytických kapacít na úrovni ústredných orgánov štátnej správy. </w:t>
      </w:r>
    </w:p>
    <w:p w:rsidR="00A5123A" w:rsidRPr="00665254" w:rsidRDefault="0038091A" w:rsidP="00A5123A">
      <w:pPr>
        <w:pStyle w:val="Zkladntext1"/>
        <w:spacing w:after="180"/>
        <w:jc w:val="both"/>
        <w:rPr>
          <w:lang w:val="sk-SK"/>
        </w:rPr>
      </w:pPr>
      <w:r w:rsidRPr="00665254">
        <w:rPr>
          <w:lang w:val="sk-SK"/>
        </w:rPr>
        <w:t>Opatrenie</w:t>
      </w:r>
      <w:r w:rsidR="00A5123A" w:rsidRPr="00665254">
        <w:rPr>
          <w:lang w:val="sk-SK"/>
        </w:rPr>
        <w:t xml:space="preserve"> prispeje k napĺňaniu cieľa prostredníctvom zvýšenia počtu, rozvoja schopností a zlepšenia technického vybavenia personálnych kapacít územných samospráv so zameraním na: 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analyticko-strategické činnosti územnej samosprávy, tvorbu, implementáciu, hodnotenie a monitorovanie plánovacích dokumentov vrátane IÚS</w:t>
      </w:r>
      <w:r w:rsidR="007051AD" w:rsidRPr="00665254">
        <w:rPr>
          <w:lang w:val="sk-SK"/>
        </w:rPr>
        <w:t>;</w:t>
      </w:r>
      <w:r w:rsidRPr="00665254">
        <w:rPr>
          <w:lang w:val="sk-SK"/>
        </w:rPr>
        <w:t xml:space="preserve"> </w:t>
      </w:r>
      <w:r w:rsidR="00C66137" w:rsidRPr="00665254">
        <w:rPr>
          <w:lang w:val="sk-SK"/>
        </w:rPr>
        <w:t>budovanie a udržanie kapacít regiónov určených na implementáciu Iniciatívy Catching up Regions</w:t>
      </w:r>
      <w:r w:rsidR="00217B9C" w:rsidRPr="00665254">
        <w:rPr>
          <w:lang w:val="sk-SK"/>
        </w:rPr>
        <w:t>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celoživotné vzdelávanie pracovníkov na všetkých úrovniach verejnej správy potrebnými zručnosťami  a ich adekvátne ohod</w:t>
      </w:r>
      <w:r w:rsidR="007051AD" w:rsidRPr="00665254">
        <w:rPr>
          <w:lang w:val="sk-SK"/>
        </w:rPr>
        <w:t>notenie;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tvorba politík na základe dát a hodnotenia dopadov miestnych a regionálnych politík, resp. hodnotenia kvality poskytovania a dostupnosti verejných služieb,</w:t>
      </w:r>
      <w:r w:rsidR="00995BF0" w:rsidRPr="00665254">
        <w:rPr>
          <w:lang w:val="sk-SK"/>
        </w:rPr>
        <w:t xml:space="preserve"> </w:t>
      </w:r>
      <w:r w:rsidR="00995BF0" w:rsidRPr="00665254">
        <w:rPr>
          <w:lang w:val="sk-SK"/>
        </w:rPr>
        <w:lastRenderedPageBreak/>
        <w:t>implementáciu prístupov k tvorbe politík na základe princípov otvoreného vládnutia na miestnej a regionálnej úrovni</w:t>
      </w:r>
      <w:r w:rsidR="007051AD" w:rsidRPr="00665254">
        <w:rPr>
          <w:lang w:val="sk-SK"/>
        </w:rPr>
        <w:t>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 xml:space="preserve">zriadenie centier zdieľaných služieb v pilotných okresoch a tie budú po pilotnej fáze financované z úspor, ktoré z tejto investície vyplynú.  </w:t>
      </w:r>
    </w:p>
    <w:p w:rsidR="00A5123A" w:rsidRPr="00665254" w:rsidRDefault="00A5123A" w:rsidP="00A5123A">
      <w:pPr>
        <w:pStyle w:val="Zkladntext1"/>
        <w:spacing w:after="180"/>
        <w:jc w:val="both"/>
        <w:rPr>
          <w:b/>
          <w:lang w:val="sk-SK"/>
        </w:rPr>
      </w:pPr>
      <w:r w:rsidRPr="00665254">
        <w:rPr>
          <w:lang w:val="sk-SK"/>
        </w:rPr>
        <w:t xml:space="preserve">Realizácia podpory </w:t>
      </w:r>
      <w:r w:rsidR="0038091A" w:rsidRPr="00665254">
        <w:rPr>
          <w:lang w:val="sk-SK"/>
        </w:rPr>
        <w:t>bude</w:t>
      </w:r>
      <w:r w:rsidRPr="00665254">
        <w:rPr>
          <w:lang w:val="sk-SK"/>
        </w:rPr>
        <w:t xml:space="preserve"> centrálne koordinovaná tak, aby budovanie strategicko-analytických kapacít v subjektoch regionálnej a územnej samosprávy prebiehalo plne v súlade s platným právnym a kompetenčným rámcom za využitia know-how z budovania príslušných útvarov na úrovni štátu. </w:t>
      </w:r>
    </w:p>
    <w:p w:rsidR="0038091A" w:rsidRPr="00665254" w:rsidRDefault="0038091A" w:rsidP="0038091A">
      <w:pPr>
        <w:pStyle w:val="Zhlavie10"/>
        <w:keepNext/>
        <w:keepLines/>
        <w:spacing w:after="300"/>
        <w:ind w:firstLine="0"/>
        <w:jc w:val="both"/>
        <w:rPr>
          <w:b/>
          <w:lang w:val="sk-SK"/>
        </w:rPr>
      </w:pPr>
      <w:r w:rsidRPr="00665254">
        <w:rPr>
          <w:b/>
          <w:lang w:val="sk-SK"/>
        </w:rPr>
        <w:t xml:space="preserve">5.1.2/5.2.2 </w:t>
      </w:r>
      <w:r w:rsidR="00A5123A" w:rsidRPr="00665254">
        <w:rPr>
          <w:b/>
          <w:lang w:val="sk-SK"/>
        </w:rPr>
        <w:t xml:space="preserve">Investície zvyšujúce kvalitu verejných politík a odolnosť demokracie prostredníctvom projektov spolupráce občianskej spoločnosti a samosprávy. </w:t>
      </w:r>
    </w:p>
    <w:p w:rsidR="00A5123A" w:rsidRPr="00665254" w:rsidRDefault="0038091A" w:rsidP="00A5123A">
      <w:pPr>
        <w:pStyle w:val="Zkladntext1"/>
        <w:spacing w:after="180"/>
        <w:jc w:val="both"/>
        <w:rPr>
          <w:b/>
          <w:lang w:val="sk-SK"/>
        </w:rPr>
      </w:pPr>
      <w:r w:rsidRPr="00665254">
        <w:rPr>
          <w:lang w:val="sk-SK"/>
        </w:rPr>
        <w:t>Opatrenie</w:t>
      </w:r>
      <w:r w:rsidR="00A5123A" w:rsidRPr="00665254">
        <w:rPr>
          <w:lang w:val="sk-SK"/>
        </w:rPr>
        <w:t xml:space="preserve"> prispeje k napĺňaniu cieľa prostredníctvom</w:t>
      </w:r>
      <w:r w:rsidR="00A5123A" w:rsidRPr="00665254">
        <w:rPr>
          <w:b/>
          <w:lang w:val="sk-SK"/>
        </w:rPr>
        <w:t>: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vytvárania podmienok pre rozvoj silných, funkčných, udržateľných komunít, ktoré sa aktívne podieľajú na rozvoji regiónov; podpora aktívneho občianstva</w:t>
      </w:r>
      <w:r w:rsidR="009403A1" w:rsidRPr="00665254">
        <w:rPr>
          <w:lang w:val="sk-SK"/>
        </w:rPr>
        <w:t>, mládežníckych organizácií, iniciatív na podporu MRK</w:t>
      </w:r>
      <w:r w:rsidR="00EF5018" w:rsidRPr="00665254">
        <w:rPr>
          <w:lang w:val="sk-SK"/>
        </w:rPr>
        <w:t xml:space="preserve"> </w:t>
      </w:r>
      <w:r w:rsidRPr="00665254">
        <w:rPr>
          <w:lang w:val="sk-SK"/>
        </w:rPr>
        <w:t>a komunitného organizovania</w:t>
      </w:r>
      <w:r w:rsidR="007051AD" w:rsidRPr="00665254">
        <w:rPr>
          <w:lang w:val="sk-SK"/>
        </w:rPr>
        <w:t>;</w:t>
      </w:r>
      <w:r w:rsidR="00CB7D38" w:rsidRPr="00665254">
        <w:rPr>
          <w:lang w:val="sk-SK"/>
        </w:rPr>
        <w:t xml:space="preserve"> </w:t>
      </w:r>
    </w:p>
    <w:p w:rsidR="009403A1" w:rsidRPr="00665254" w:rsidRDefault="00A5123A" w:rsidP="0064494D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rozvoja spolupráce, podpory participácie a medzisektorových partnerstiev pri tvorbe, implementácii a hodnotení verejných politík, pri strategickom plánovaní a pri príprave a realizácii projektov na regionálnej a miestnej úrovni</w:t>
      </w:r>
      <w:r w:rsidR="007051AD" w:rsidRPr="00665254">
        <w:rPr>
          <w:lang w:val="sk-SK"/>
        </w:rPr>
        <w:t>;</w:t>
      </w:r>
      <w:r w:rsidR="00EF5018" w:rsidRPr="00665254">
        <w:rPr>
          <w:lang w:val="sk-SK"/>
        </w:rPr>
        <w:t xml:space="preserve"> </w:t>
      </w:r>
    </w:p>
    <w:p w:rsidR="00A5123A" w:rsidRPr="00665254" w:rsidRDefault="00A5123A" w:rsidP="0064494D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zvyšovania schopnosti regionálnej a miestnej samosprávy predchádzať ďalšej polarizácii a nárastu extrémizmu a reagovať na prejavujúce sa nebezpečné sociálno-patologické javy</w:t>
      </w:r>
      <w:r w:rsidR="007051AD" w:rsidRPr="00665254">
        <w:rPr>
          <w:lang w:val="sk-SK"/>
        </w:rPr>
        <w:t>.</w:t>
      </w:r>
    </w:p>
    <w:p w:rsidR="0038091A" w:rsidRPr="00665254" w:rsidRDefault="0038091A" w:rsidP="0038091A">
      <w:pPr>
        <w:pStyle w:val="Zhlavie10"/>
        <w:keepNext/>
        <w:keepLines/>
        <w:spacing w:after="300"/>
        <w:ind w:firstLine="0"/>
        <w:jc w:val="both"/>
        <w:rPr>
          <w:b/>
          <w:lang w:val="sk-SK"/>
        </w:rPr>
      </w:pPr>
      <w:r w:rsidRPr="00665254">
        <w:rPr>
          <w:b/>
          <w:lang w:val="sk-SK"/>
        </w:rPr>
        <w:t xml:space="preserve">5.1.3/5.2.3 </w:t>
      </w:r>
      <w:r w:rsidR="00A5123A" w:rsidRPr="00665254">
        <w:rPr>
          <w:b/>
          <w:lang w:val="sk-SK"/>
        </w:rPr>
        <w:t>Investície do bezpečného fyzického pr</w:t>
      </w:r>
      <w:r w:rsidRPr="00665254">
        <w:rPr>
          <w:b/>
          <w:lang w:val="sk-SK"/>
        </w:rPr>
        <w:t>ostredia obcí, miest a regiónov</w:t>
      </w:r>
    </w:p>
    <w:p w:rsidR="00A5123A" w:rsidRPr="00665254" w:rsidRDefault="0038091A" w:rsidP="00A5123A">
      <w:pPr>
        <w:pStyle w:val="Zkladntext1"/>
        <w:spacing w:after="180"/>
        <w:jc w:val="both"/>
        <w:rPr>
          <w:lang w:val="sk-SK"/>
        </w:rPr>
      </w:pPr>
      <w:r w:rsidRPr="00665254">
        <w:rPr>
          <w:lang w:val="sk-SK"/>
        </w:rPr>
        <w:t>Opatrenie</w:t>
      </w:r>
      <w:r w:rsidR="00A5123A" w:rsidRPr="00665254">
        <w:rPr>
          <w:lang w:val="sk-SK"/>
        </w:rPr>
        <w:t xml:space="preserve"> prispeje k napĺňaniu cieľa prostredníctvom budovania infraštruktúry a realizovania opatrení na predchádzanie problémových javov a napätiu v komunitách obcí a regiónov so zameraním na: </w:t>
      </w:r>
    </w:p>
    <w:p w:rsidR="00A5123A" w:rsidRPr="00665254" w:rsidRDefault="009403A1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prevenciu kriminality (</w:t>
      </w:r>
      <w:r w:rsidR="00A5123A" w:rsidRPr="00665254">
        <w:rPr>
          <w:lang w:val="sk-SK"/>
        </w:rPr>
        <w:t xml:space="preserve">inštalácia nových svetelných bodov verejného osvetlenia, príp. ich rekonštrukcia v rizikových lokalitách, </w:t>
      </w:r>
      <w:r w:rsidR="009B27A9" w:rsidRPr="00665254">
        <w:rPr>
          <w:lang w:val="sk-SK"/>
        </w:rPr>
        <w:t>posilnenie pomáhajúcich profesií, adresná podpora aktivít zameraných na primárnu prevenciu,</w:t>
      </w:r>
      <w:r w:rsidR="00B14D9E" w:rsidRPr="00665254">
        <w:rPr>
          <w:lang w:val="sk-SK"/>
        </w:rPr>
        <w:t xml:space="preserve"> osveta a scitlivovanie bezpečnostných zložiek,  ...)</w:t>
      </w:r>
      <w:r w:rsidR="009B75A0" w:rsidRPr="00665254">
        <w:rPr>
          <w:lang w:val="sk-SK"/>
        </w:rPr>
        <w:t>;</w:t>
      </w:r>
      <w:r w:rsidR="009B27A9" w:rsidRPr="00665254">
        <w:rPr>
          <w:lang w:val="sk-SK"/>
        </w:rPr>
        <w:t xml:space="preserve">  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zabezpečenie promptného prístupu k poradenstvu a pomoci pre obete trestných činov</w:t>
      </w:r>
      <w:r w:rsidR="007051AD" w:rsidRPr="00665254">
        <w:rPr>
          <w:lang w:val="sk-SK"/>
        </w:rPr>
        <w:t>;</w:t>
      </w:r>
      <w:r w:rsidRPr="00665254">
        <w:rPr>
          <w:lang w:val="sk-SK"/>
        </w:rPr>
        <w:t xml:space="preserve"> </w:t>
      </w:r>
    </w:p>
    <w:p w:rsidR="009403A1" w:rsidRPr="00665254" w:rsidRDefault="009403A1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aktivity na podporu MRK;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terénnu a dobrovoľnícku prácu s rizikovými zložkami populácie</w:t>
      </w:r>
      <w:r w:rsidR="007051AD" w:rsidRPr="00665254">
        <w:rPr>
          <w:lang w:val="sk-SK"/>
        </w:rPr>
        <w:t>;</w:t>
      </w:r>
      <w:r w:rsidRPr="00665254">
        <w:rPr>
          <w:lang w:val="sk-SK"/>
        </w:rPr>
        <w:t xml:space="preserve"> 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analyticko-strategické činnosti,  tvorba, implementácia, hodnotenie a monitorovanie strategických dokumentov   v oblasti bezpečnosti  a</w:t>
      </w:r>
      <w:r w:rsidR="00B14D9E" w:rsidRPr="00665254">
        <w:rPr>
          <w:lang w:val="sk-SK"/>
        </w:rPr>
        <w:t xml:space="preserve"> predchádzania vzniku, prehlbovania  </w:t>
      </w:r>
      <w:r w:rsidRPr="00665254">
        <w:rPr>
          <w:lang w:val="sk-SK"/>
        </w:rPr>
        <w:t>sociálno-patologický</w:t>
      </w:r>
      <w:r w:rsidR="00B14D9E" w:rsidRPr="00665254">
        <w:rPr>
          <w:lang w:val="sk-SK"/>
        </w:rPr>
        <w:t>ch</w:t>
      </w:r>
      <w:r w:rsidRPr="00665254">
        <w:rPr>
          <w:lang w:val="sk-SK"/>
        </w:rPr>
        <w:t xml:space="preserve"> </w:t>
      </w:r>
      <w:r w:rsidR="00B14D9E" w:rsidRPr="00665254">
        <w:rPr>
          <w:lang w:val="sk-SK"/>
        </w:rPr>
        <w:t>javov</w:t>
      </w:r>
      <w:r w:rsidRPr="00665254">
        <w:rPr>
          <w:lang w:val="sk-SK"/>
        </w:rPr>
        <w:t>.</w:t>
      </w:r>
    </w:p>
    <w:p w:rsidR="0038091A" w:rsidRPr="00665254" w:rsidRDefault="0038091A" w:rsidP="00A5123A">
      <w:pPr>
        <w:pStyle w:val="Zkladntext1"/>
        <w:spacing w:after="180"/>
        <w:jc w:val="both"/>
        <w:rPr>
          <w:b/>
          <w:lang w:val="sk-SK"/>
        </w:rPr>
      </w:pPr>
      <w:r w:rsidRPr="00665254">
        <w:rPr>
          <w:b/>
          <w:lang w:val="sk-SK"/>
        </w:rPr>
        <w:t xml:space="preserve">5.1.4/5.2.4 </w:t>
      </w:r>
      <w:r w:rsidR="00A5123A" w:rsidRPr="00665254">
        <w:rPr>
          <w:b/>
          <w:lang w:val="sk-SK"/>
        </w:rPr>
        <w:t xml:space="preserve">Investície do regionálnej a miestnej infraštruktúry pre pohybové aktivity, cykloturistiku. </w:t>
      </w:r>
    </w:p>
    <w:p w:rsidR="00A5123A" w:rsidRPr="00665254" w:rsidRDefault="0038091A" w:rsidP="00A5123A">
      <w:pPr>
        <w:pStyle w:val="Zkladntext1"/>
        <w:spacing w:after="180"/>
        <w:jc w:val="both"/>
        <w:rPr>
          <w:b/>
          <w:lang w:val="sk-SK"/>
        </w:rPr>
      </w:pPr>
      <w:r w:rsidRPr="00665254">
        <w:rPr>
          <w:lang w:val="sk-SK"/>
        </w:rPr>
        <w:t>Opatrenie</w:t>
      </w:r>
      <w:r w:rsidR="00A5123A" w:rsidRPr="00665254">
        <w:rPr>
          <w:lang w:val="sk-SK"/>
        </w:rPr>
        <w:t xml:space="preserve"> prispeje k napĺňaniu cieľa prostredníctvom budovania infraštruktúry na podporu zdravého životného štýlu a aktívneho trávenia voľného času so zameraním na: 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lastRenderedPageBreak/>
        <w:t>rekonštrukciu a výstavbu ihrísk, viacúčelových športových areálov a nenáročných šport</w:t>
      </w:r>
      <w:r w:rsidR="007051AD" w:rsidRPr="00665254">
        <w:rPr>
          <w:lang w:val="sk-SK"/>
        </w:rPr>
        <w:t>ových a telovýchovných objektov;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rekonštrukciu a výstavbu športovej infraštruktúry slúžiacej pre širokú verejnosť a voľno</w:t>
      </w:r>
      <w:r w:rsidR="007051AD" w:rsidRPr="00665254">
        <w:rPr>
          <w:lang w:val="sk-SK"/>
        </w:rPr>
        <w:t>-časové aktivity detí a mládeže;</w:t>
      </w:r>
      <w:r w:rsidRPr="00665254">
        <w:rPr>
          <w:lang w:val="sk-SK"/>
        </w:rPr>
        <w:t xml:space="preserve"> 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rekonštrukcia a tvorba športovo oddychových zón v obciach a mestách</w:t>
      </w:r>
      <w:r w:rsidR="007051AD" w:rsidRPr="00665254">
        <w:rPr>
          <w:lang w:val="sk-SK"/>
        </w:rPr>
        <w:t>;</w:t>
      </w:r>
      <w:r w:rsidRPr="00665254">
        <w:rPr>
          <w:lang w:val="sk-SK"/>
        </w:rPr>
        <w:t xml:space="preserve"> 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revitalizácia regionálnej športovej infraštruktúry s cieľom aktívneho komunitného trávenia voľného času vrátane tvorby architektonických štúdií</w:t>
      </w:r>
      <w:r w:rsidR="007051AD" w:rsidRPr="00665254">
        <w:rPr>
          <w:lang w:val="sk-SK"/>
        </w:rPr>
        <w:t>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propagáciu zdra</w:t>
      </w:r>
      <w:r w:rsidR="007051AD" w:rsidRPr="00665254">
        <w:rPr>
          <w:lang w:val="sk-SK"/>
        </w:rPr>
        <w:t>vého životného štýlu obyvateľov;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monitorovanie využitia regionálnej infraštruktúry, zvlášť zo strany detí a mládeže, seniorov, športových organizácii a zdravotne  postihnutých občanov vrátane hodnotenia previazanosti pohybových aktivít so znížením nákladov na zdravotnú starostlivosť, znížením kriminality, zvýšením pracovného nasadenia a zlepšením štud</w:t>
      </w:r>
      <w:r w:rsidR="007051AD" w:rsidRPr="00665254">
        <w:rPr>
          <w:lang w:val="sk-SK"/>
        </w:rPr>
        <w:t>ijných výsledkov detí a mládeže;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prepojenie regionálnych aktív cestovného ruchu na existujúce alebo pripravované cyklistické trate a výstavbu doplnkovej infraštruktúry pre potreby cyklistickej turistiky (oddychové miesta, cyklistické stojany,  značenie, nabíjacie stanice a pod.) v t</w:t>
      </w:r>
      <w:r w:rsidR="002A449E" w:rsidRPr="00665254">
        <w:rPr>
          <w:lang w:val="sk-SK"/>
        </w:rPr>
        <w:t>uristicky významných lokalitách</w:t>
      </w:r>
      <w:r w:rsidR="007051AD" w:rsidRPr="00665254">
        <w:rPr>
          <w:lang w:val="sk-SK"/>
        </w:rPr>
        <w:t>;</w:t>
      </w:r>
    </w:p>
    <w:p w:rsidR="005B6F37" w:rsidRPr="00665254" w:rsidRDefault="007051AD" w:rsidP="00DE265E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podporu</w:t>
      </w:r>
      <w:r w:rsidR="005B6F37" w:rsidRPr="00665254">
        <w:rPr>
          <w:lang w:val="sk-SK"/>
        </w:rPr>
        <w:t xml:space="preserve"> aktivít vychádzajúcich z Iniciatívy Catching-up Regions, ktoré sú zamerané na rozvoj turistickej infraštruktúry</w:t>
      </w:r>
      <w:r w:rsidR="00DE265E" w:rsidRPr="00665254">
        <w:rPr>
          <w:lang w:val="sk-SK"/>
        </w:rPr>
        <w:t xml:space="preserve"> (napr. výstavba cyklistickej infraštruktúry  v Poloninách s prepojením na turistickú komunikáciu Porta Rusica, ktorá́ spája Slovensko a Poľsko)</w:t>
      </w:r>
      <w:r w:rsidR="005B6F37" w:rsidRPr="00665254">
        <w:rPr>
          <w:lang w:val="sk-SK"/>
        </w:rPr>
        <w:t xml:space="preserve">.  </w:t>
      </w:r>
    </w:p>
    <w:p w:rsidR="005B6F37" w:rsidRPr="00665254" w:rsidRDefault="005B6F37" w:rsidP="005B6F37">
      <w:pPr>
        <w:pStyle w:val="Zkladntext1"/>
        <w:spacing w:after="180"/>
        <w:ind w:left="720"/>
        <w:jc w:val="both"/>
        <w:rPr>
          <w:lang w:val="sk-SK"/>
        </w:rPr>
      </w:pPr>
    </w:p>
    <w:p w:rsidR="0038091A" w:rsidRPr="00665254" w:rsidRDefault="0038091A" w:rsidP="00A5123A">
      <w:pPr>
        <w:pStyle w:val="Zkladntext1"/>
        <w:spacing w:after="180"/>
        <w:jc w:val="both"/>
        <w:rPr>
          <w:b/>
          <w:lang w:val="sk-SK"/>
        </w:rPr>
      </w:pPr>
      <w:r w:rsidRPr="00665254">
        <w:rPr>
          <w:b/>
          <w:lang w:val="sk-SK"/>
        </w:rPr>
        <w:t xml:space="preserve">5.1.5/5.2. </w:t>
      </w:r>
      <w:r w:rsidR="00A5123A" w:rsidRPr="00665254">
        <w:rPr>
          <w:b/>
          <w:lang w:val="sk-SK"/>
        </w:rPr>
        <w:t>Investície do kultúrneho dedičstva, miestnej a regionálnej kultúry, manažmentu, služieb a infraštruktúry podporujúcich komunitný roz</w:t>
      </w:r>
      <w:r w:rsidRPr="00665254">
        <w:rPr>
          <w:b/>
          <w:lang w:val="sk-SK"/>
        </w:rPr>
        <w:t>voj a udržateľný cestovný ruch</w:t>
      </w:r>
    </w:p>
    <w:p w:rsidR="00A5123A" w:rsidRPr="00665254" w:rsidRDefault="0038091A" w:rsidP="00A5123A">
      <w:pPr>
        <w:pStyle w:val="Zkladntext1"/>
        <w:spacing w:after="180"/>
        <w:jc w:val="both"/>
        <w:rPr>
          <w:b/>
          <w:lang w:val="sk-SK"/>
        </w:rPr>
      </w:pPr>
      <w:r w:rsidRPr="00665254">
        <w:rPr>
          <w:lang w:val="sk-SK"/>
        </w:rPr>
        <w:t>Opatrenie</w:t>
      </w:r>
      <w:r w:rsidR="00A5123A" w:rsidRPr="00665254">
        <w:rPr>
          <w:lang w:val="sk-SK"/>
        </w:rPr>
        <w:t xml:space="preserve"> prispeje k napĺňaniu cieľa prostredníctvom </w:t>
      </w:r>
      <w:r w:rsidR="00CA0972" w:rsidRPr="00665254">
        <w:rPr>
          <w:lang w:val="sk-SK"/>
        </w:rPr>
        <w:t xml:space="preserve">zvyšovania kvality života v regiónoch a </w:t>
      </w:r>
      <w:r w:rsidR="00A5123A" w:rsidRPr="00665254">
        <w:rPr>
          <w:lang w:val="sk-SK"/>
        </w:rPr>
        <w:t xml:space="preserve">podpory zachovania, ochrany a rozvoja potenciálu kultúrnych, prírodných a iných aktív regiónov so zameraním na: 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zlepšenie kvality a dostupnosti informácií pre návštevníkov v kultúrnom a prírodnom turizme a jeho propagácia, najmä prostredníctvom podpory inovatívnych riešení</w:t>
      </w:r>
      <w:r w:rsidR="00665254" w:rsidRPr="00665254">
        <w:rPr>
          <w:lang w:val="sk-SK"/>
        </w:rPr>
        <w:t>;</w:t>
      </w:r>
      <w:r w:rsidRPr="00665254">
        <w:rPr>
          <w:lang w:val="sk-SK"/>
        </w:rPr>
        <w:t xml:space="preserve"> 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obnovu národných kultúrnych pamiatok, kultúrnych pamiatok, pamiatkových objektov, existujúcich kultúrnych inštitúcií a zariadení, expozícií a zbierok, ostatnej kultúrnej infraštruktúry, vrátane sakrálnych objektov</w:t>
      </w:r>
      <w:r w:rsidR="00665254" w:rsidRPr="00665254">
        <w:rPr>
          <w:lang w:val="sk-SK"/>
        </w:rPr>
        <w:t>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zvýšenie interaktivity a digitalizácia expozícií kultúrnych a prírodných aktív cestovného ruchu (prezentácia pomocou technologických prvkov)</w:t>
      </w:r>
      <w:r w:rsidR="00665254" w:rsidRPr="00665254">
        <w:rPr>
          <w:lang w:val="sk-SK"/>
        </w:rPr>
        <w:t>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rozvoj kultúry mestských a vidieckych oblastí cez moderné typy múzeí – múzeá v prírode, in situ múzeá, tematické múzea</w:t>
      </w:r>
      <w:r w:rsidR="00665254" w:rsidRPr="00665254">
        <w:rPr>
          <w:lang w:val="sk-SK"/>
        </w:rPr>
        <w:t xml:space="preserve"> (napr. múzeum obetí komunizmu);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rekonštrukciu, budovanie a rozvoj lokalít pre stretávanie a rozvoj lokálnych komunít</w:t>
      </w:r>
      <w:r w:rsidR="009403A1" w:rsidRPr="00665254">
        <w:rPr>
          <w:lang w:val="sk-SK"/>
        </w:rPr>
        <w:t>, vrátane MRK</w:t>
      </w:r>
      <w:r w:rsidRPr="00665254">
        <w:rPr>
          <w:lang w:val="sk-SK"/>
        </w:rPr>
        <w:t xml:space="preserve"> (komunitné kultúrne body a rezidenčné centrá, divadlá, koncertné sály, knižnice, kultúrne domy, hudobné kluby, amfiteátre, festivaly a jarmoky,...)</w:t>
      </w:r>
      <w:r w:rsidR="00665254" w:rsidRPr="00665254">
        <w:rPr>
          <w:lang w:val="sk-SK"/>
        </w:rPr>
        <w:t>;</w:t>
      </w:r>
      <w:r w:rsidR="00665254" w:rsidRPr="00665254">
        <w:rPr>
          <w:lang w:val="sk-SK"/>
        </w:rPr>
        <w:tab/>
      </w:r>
      <w:r w:rsidRPr="00665254">
        <w:rPr>
          <w:lang w:val="sk-SK"/>
        </w:rPr>
        <w:t xml:space="preserve"> </w:t>
      </w:r>
    </w:p>
    <w:p w:rsidR="00C5799B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lastRenderedPageBreak/>
        <w:t xml:space="preserve">obnovu a budovanie infraštruktúry  v okolí národných kultúrnych pamiatok, kultúrnych pamiatok a ostatnej kultúrnej infraštruktúry, prírodných lokalít, </w:t>
      </w:r>
      <w:r w:rsidR="009403A1" w:rsidRPr="00665254">
        <w:rPr>
          <w:lang w:val="sk-SK"/>
        </w:rPr>
        <w:t>kúpeľníctva</w:t>
      </w:r>
      <w:r w:rsidRPr="00665254">
        <w:rPr>
          <w:lang w:val="sk-SK"/>
        </w:rPr>
        <w:t xml:space="preserve"> a trávenia voľného času (napr. parkoviská, technické zázemie, hygienické zariadenia, napojenie na cyklochodníky, informačné a navigačné tabule, stojany a priestory pre úschovu bicyklo</w:t>
      </w:r>
      <w:r w:rsidR="00C5799B" w:rsidRPr="00665254">
        <w:rPr>
          <w:lang w:val="sk-SK"/>
        </w:rPr>
        <w:t>v)</w:t>
      </w:r>
      <w:r w:rsidR="00665254" w:rsidRPr="00665254">
        <w:rPr>
          <w:lang w:val="sk-SK"/>
        </w:rPr>
        <w:t>;</w:t>
      </w:r>
    </w:p>
    <w:p w:rsidR="00A5123A" w:rsidRPr="00665254" w:rsidRDefault="00A5123A" w:rsidP="0038091A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technickú infraštruktúru kultúrnych zariadení v zriaďovanej a nezriaďovanej kultúre za účelom modernizácie (napr. svetelná a zvuková technika, vzduchotechnika, digitalizácia, modernizácia interiérov, modernizácia a digitalizácia výstavných a expozičných priestorov)</w:t>
      </w:r>
      <w:r w:rsidR="00665254" w:rsidRPr="00665254">
        <w:rPr>
          <w:lang w:val="sk-SK"/>
        </w:rPr>
        <w:t>;</w:t>
      </w:r>
      <w:r w:rsidRPr="00665254">
        <w:rPr>
          <w:lang w:val="sk-SK"/>
        </w:rPr>
        <w:t xml:space="preserve"> </w:t>
      </w:r>
    </w:p>
    <w:p w:rsidR="007051AD" w:rsidRPr="00665254" w:rsidRDefault="007051AD" w:rsidP="007051AD">
      <w:pPr>
        <w:pStyle w:val="Zkladntext1"/>
        <w:numPr>
          <w:ilvl w:val="0"/>
          <w:numId w:val="17"/>
        </w:numPr>
        <w:spacing w:after="180"/>
        <w:jc w:val="both"/>
        <w:rPr>
          <w:lang w:val="sk-SK"/>
        </w:rPr>
      </w:pPr>
      <w:r w:rsidRPr="00665254">
        <w:rPr>
          <w:lang w:val="sk-SK"/>
        </w:rPr>
        <w:t>podporu aktivít vychádzajúcich z Iniciatívy Catching-up Regions, ktoré sú zamerané na rozvoj udržateľného cestovného ruchu.</w:t>
      </w:r>
    </w:p>
    <w:p w:rsidR="00A861ED" w:rsidRPr="00665254" w:rsidRDefault="00A861ED" w:rsidP="00A5123A">
      <w:pPr>
        <w:pStyle w:val="Zkladntext1"/>
        <w:shd w:val="clear" w:color="auto" w:fill="auto"/>
        <w:spacing w:after="180"/>
        <w:jc w:val="both"/>
        <w:rPr>
          <w:lang w:val="sk-SK"/>
        </w:rPr>
      </w:pPr>
      <w:r w:rsidRPr="00665254">
        <w:rPr>
          <w:b/>
          <w:lang w:val="sk-SK"/>
        </w:rPr>
        <w:t>5.1.6. Európske hlavné mesto kultúry</w:t>
      </w:r>
    </w:p>
    <w:p w:rsidR="00DA7434" w:rsidRPr="00665254" w:rsidRDefault="00A5123A" w:rsidP="00A5123A">
      <w:pPr>
        <w:pStyle w:val="Zkladntext1"/>
        <w:shd w:val="clear" w:color="auto" w:fill="auto"/>
        <w:spacing w:after="180"/>
        <w:jc w:val="both"/>
        <w:rPr>
          <w:lang w:val="sk-SK"/>
        </w:rPr>
      </w:pPr>
      <w:r w:rsidRPr="00665254">
        <w:rPr>
          <w:lang w:val="sk-SK"/>
        </w:rPr>
        <w:t>Cieľom je, aby obyvatelia a turisti vo väčšej miere využívali národné kultúrne pamiatky, vrátane kultúrnych a prírodných pamiatok zaradených v Zozname svetového dedičstva UNESCO pre kultúrne a voľnočasové aktivity. Osobitná alokácia bude určená konkrétnemu mestu, ktoré bude hosťovať akcie Európske hlavné mesto kultúry 2026. Projekt EHMK predpokladá vplyv na všetky typy podnikov v regióne vzhľadom na predpokladané stavebné investície a nárast dopytu po službách návštevníkov podujatia.</w:t>
      </w:r>
    </w:p>
    <w:p w:rsidR="0085768E" w:rsidRPr="00665254" w:rsidRDefault="0085768E" w:rsidP="00A5123A">
      <w:pPr>
        <w:pStyle w:val="Zkladntext1"/>
        <w:shd w:val="clear" w:color="auto" w:fill="auto"/>
        <w:spacing w:after="180"/>
        <w:jc w:val="both"/>
        <w:rPr>
          <w:lang w:val="sk-SK"/>
        </w:rPr>
      </w:pPr>
      <w:r w:rsidRPr="00665254">
        <w:rPr>
          <w:lang w:val="sk-SK"/>
        </w:rPr>
        <w:t>Vo všetkých opatreniach bude oprávnenou aj príprava projektovej dokumentácie.</w:t>
      </w:r>
    </w:p>
    <w:p w:rsidR="00E054BE" w:rsidRPr="00665254" w:rsidRDefault="000935D0" w:rsidP="00E054BE">
      <w:pPr>
        <w:pStyle w:val="Zkladntext1"/>
        <w:spacing w:after="180"/>
        <w:jc w:val="both"/>
        <w:rPr>
          <w:iCs/>
          <w:lang w:val="sk-SK"/>
        </w:rPr>
      </w:pPr>
      <w:r w:rsidRPr="00665254">
        <w:rPr>
          <w:b/>
          <w:iCs/>
          <w:lang w:val="sk-SK"/>
        </w:rPr>
        <w:t>Cieľové skupiny</w:t>
      </w:r>
      <w:r w:rsidRPr="00665254">
        <w:rPr>
          <w:iCs/>
          <w:lang w:val="sk-SK"/>
        </w:rPr>
        <w:t>: zamestnanci a predstavitelia samospráv, obyvatelia a zástupcovia občianskej spoločnosti, miestni podnikatelia,  a návštevníci regiónov.</w:t>
      </w:r>
    </w:p>
    <w:p w:rsidR="00E55807" w:rsidRPr="00665254" w:rsidRDefault="000935D0" w:rsidP="00E054BE">
      <w:pPr>
        <w:pStyle w:val="Zkladntext1"/>
        <w:spacing w:after="180"/>
        <w:jc w:val="both"/>
        <w:rPr>
          <w:bCs/>
          <w:iCs/>
          <w:lang w:val="sk-SK"/>
        </w:rPr>
      </w:pPr>
      <w:r w:rsidRPr="00665254">
        <w:rPr>
          <w:b/>
          <w:iCs/>
          <w:lang w:val="sk-SK"/>
        </w:rPr>
        <w:t>Prijímatelia</w:t>
      </w:r>
      <w:r w:rsidR="00A861ED" w:rsidRPr="00665254">
        <w:rPr>
          <w:b/>
          <w:iCs/>
          <w:lang w:val="sk-SK"/>
        </w:rPr>
        <w:t xml:space="preserve"> </w:t>
      </w:r>
      <w:r w:rsidR="00AA7044" w:rsidRPr="00665254">
        <w:rPr>
          <w:b/>
          <w:iCs/>
          <w:lang w:val="sk-SK"/>
        </w:rPr>
        <w:t>podpory</w:t>
      </w:r>
      <w:r w:rsidRPr="00665254">
        <w:rPr>
          <w:iCs/>
          <w:lang w:val="sk-SK"/>
        </w:rPr>
        <w:t xml:space="preserve">: </w:t>
      </w:r>
      <w:r w:rsidRPr="00665254">
        <w:rPr>
          <w:bCs/>
          <w:lang w:val="sk-SK"/>
        </w:rPr>
        <w:t>subjekty verejnej správy (subjekty štátnej správy, subjekty územnej samosprávy a subjekty záujmov</w:t>
      </w:r>
      <w:r w:rsidR="00A514A8" w:rsidRPr="00665254">
        <w:rPr>
          <w:bCs/>
          <w:lang w:val="sk-SK"/>
        </w:rPr>
        <w:t>ej</w:t>
      </w:r>
      <w:r w:rsidRPr="00665254">
        <w:rPr>
          <w:bCs/>
          <w:lang w:val="sk-SK"/>
        </w:rPr>
        <w:t xml:space="preserve"> samosprávy) a nimi zriaďované subjekty, </w:t>
      </w:r>
      <w:r w:rsidRPr="00665254">
        <w:rPr>
          <w:bCs/>
          <w:iCs/>
          <w:lang w:val="sk-SK"/>
        </w:rPr>
        <w:t>cirkevné organizácie, súkromný sektor, mimovládne neziskové organizácie.</w:t>
      </w:r>
    </w:p>
    <w:p w:rsidR="00225438" w:rsidRPr="00665254" w:rsidRDefault="00225438" w:rsidP="00E054BE">
      <w:pPr>
        <w:pStyle w:val="Zkladntext1"/>
        <w:spacing w:after="180"/>
        <w:jc w:val="both"/>
        <w:rPr>
          <w:iCs/>
          <w:lang w:val="sk-SK"/>
        </w:rPr>
      </w:pPr>
    </w:p>
    <w:p w:rsidR="00225438" w:rsidRPr="00665254" w:rsidRDefault="00225438" w:rsidP="00225438">
      <w:pPr>
        <w:pStyle w:val="Zhlavie10"/>
        <w:keepNext/>
        <w:keepLines/>
        <w:shd w:val="clear" w:color="auto" w:fill="auto"/>
        <w:spacing w:after="300"/>
        <w:ind w:firstLine="0"/>
        <w:jc w:val="both"/>
        <w:rPr>
          <w:b/>
          <w:lang w:val="sk-SK"/>
        </w:rPr>
      </w:pPr>
      <w:r w:rsidRPr="00665254">
        <w:rPr>
          <w:b/>
          <w:lang w:val="sk-SK"/>
        </w:rPr>
        <w:t>Indication of the specific territories targeted, including the planned use of territorial tools - point (d)(v) of Article 22(3) CPR</w:t>
      </w:r>
    </w:p>
    <w:p w:rsidR="00225438" w:rsidRPr="00102659" w:rsidRDefault="00225438" w:rsidP="00225438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jc w:val="both"/>
        <w:rPr>
          <w:lang w:val="sk-SK"/>
        </w:rPr>
      </w:pPr>
      <w:r w:rsidRPr="00665254">
        <w:rPr>
          <w:lang w:val="sk-SK"/>
        </w:rPr>
        <w:t xml:space="preserve">V špecifickom cieli 1 aj v špecifickom cieli 2 sa budú využívať integrované územné investície a pre aktivity spadajúce pod európsku inciatívu Catching-up Regions bude podpora smerovaná </w:t>
      </w:r>
      <w:r w:rsidR="00DE265E" w:rsidRPr="00665254">
        <w:rPr>
          <w:lang w:val="sk-SK"/>
        </w:rPr>
        <w:t>na územie zapojených regiónov</w:t>
      </w:r>
      <w:r w:rsidR="00C66137" w:rsidRPr="00665254">
        <w:rPr>
          <w:lang w:val="sk-SK"/>
        </w:rPr>
        <w:t>.</w:t>
      </w:r>
    </w:p>
    <w:p w:rsidR="00225438" w:rsidRPr="00102659" w:rsidRDefault="00225438" w:rsidP="00E054BE">
      <w:pPr>
        <w:pStyle w:val="Zkladntext1"/>
        <w:spacing w:after="180"/>
        <w:jc w:val="both"/>
        <w:rPr>
          <w:iCs/>
          <w:lang w:val="sk-SK"/>
        </w:rPr>
      </w:pPr>
    </w:p>
    <w:sectPr w:rsidR="00225438" w:rsidRPr="00102659" w:rsidSect="0062672F">
      <w:footerReference w:type="even" r:id="rId8"/>
      <w:footerReference w:type="default" r:id="rId9"/>
      <w:pgSz w:w="11900" w:h="16840"/>
      <w:pgMar w:top="1417" w:right="1417" w:bottom="1417" w:left="1417" w:header="881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FE" w:rsidRDefault="00A048FE">
      <w:r>
        <w:separator/>
      </w:r>
    </w:p>
  </w:endnote>
  <w:endnote w:type="continuationSeparator" w:id="0">
    <w:p w:rsidR="00A048FE" w:rsidRDefault="00A0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03" w:rsidRDefault="004F3F03">
    <w:pPr>
      <w:spacing w:line="1" w:lineRule="exact"/>
    </w:pP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760128" behindDoc="1" locked="0" layoutInCell="1" allowOverlap="1" wp14:anchorId="1BA2569B" wp14:editId="3DE14AF4">
              <wp:simplePos x="0" y="0"/>
              <wp:positionH relativeFrom="page">
                <wp:posOffset>706120</wp:posOffset>
              </wp:positionH>
              <wp:positionV relativeFrom="page">
                <wp:posOffset>9952990</wp:posOffset>
              </wp:positionV>
              <wp:extent cx="6123305" cy="128270"/>
              <wp:effectExtent l="0" t="0" r="0" b="0"/>
              <wp:wrapNone/>
              <wp:docPr id="406" name="Shape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33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3F03" w:rsidRDefault="004F3F03">
                          <w:pPr>
                            <w:pStyle w:val="Hlavikaalebopta0"/>
                            <w:shd w:val="clear" w:color="auto" w:fill="auto"/>
                            <w:tabs>
                              <w:tab w:val="left" w:pos="6965"/>
                              <w:tab w:val="right" w:pos="9643"/>
                            </w:tabs>
                          </w:pPr>
                          <w:r>
                            <w:t>6674/21 ADD 1</w:t>
                          </w:r>
                          <w:r>
                            <w:tab/>
                            <w:t>JF/vm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65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2569B" id="_x0000_t202" coordsize="21600,21600" o:spt="202" path="m,l,21600r21600,l21600,xe">
              <v:stroke joinstyle="miter"/>
              <v:path gradientshapeok="t" o:connecttype="rect"/>
            </v:shapetype>
            <v:shape id="Shape 406" o:spid="_x0000_s1026" type="#_x0000_t202" style="position:absolute;margin-left:55.6pt;margin-top:783.7pt;width:482.15pt;height:10.1pt;z-index:-25155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" filled="f" stroked="f">
              <v:textbox style="mso-fit-shape-to-text:t" inset="0,0,0,0">
                <w:txbxContent>
                  <w:p w:rsidR="004F3F03" w:rsidRDefault="004F3F03">
                    <w:pPr>
                      <w:pStyle w:val="Hlavikaalebopta0"/>
                      <w:shd w:val="clear" w:color="auto" w:fill="auto"/>
                      <w:tabs>
                        <w:tab w:val="left" w:pos="6965"/>
                        <w:tab w:val="right" w:pos="9643"/>
                      </w:tabs>
                    </w:pPr>
                    <w:r>
                      <w:t>6674/21 ADD 1</w:t>
                    </w:r>
                    <w:r>
                      <w:tab/>
                      <w:t>JF/vm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65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761152" behindDoc="1" locked="0" layoutInCell="1" allowOverlap="1" wp14:anchorId="070559E5" wp14:editId="73566534">
              <wp:simplePos x="0" y="0"/>
              <wp:positionH relativeFrom="page">
                <wp:posOffset>709295</wp:posOffset>
              </wp:positionH>
              <wp:positionV relativeFrom="page">
                <wp:posOffset>10154285</wp:posOffset>
              </wp:positionV>
              <wp:extent cx="6120130" cy="176530"/>
              <wp:effectExtent l="0" t="0" r="0" b="0"/>
              <wp:wrapNone/>
              <wp:docPr id="408" name="Shap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3F03" w:rsidRDefault="004F3F03">
                          <w:pPr>
                            <w:pStyle w:val="Hlavikaalebopta0"/>
                            <w:shd w:val="clear" w:color="auto" w:fill="auto"/>
                            <w:tabs>
                              <w:tab w:val="right" w:pos="5477"/>
                              <w:tab w:val="right" w:pos="9638"/>
                            </w:tabs>
                            <w:rPr>
                              <w:sz w:val="36"/>
                              <w:szCs w:val="36"/>
                            </w:rPr>
                          </w:pPr>
                          <w:r>
                            <w:t>ANNEX V</w:t>
                          </w:r>
                          <w:r>
                            <w:tab/>
                            <w:t>ECOMP.2.A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EN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0559E5" id="Shape 408" o:spid="_x0000_s1027" type="#_x0000_t202" style="position:absolute;margin-left:55.85pt;margin-top:799.55pt;width:481.9pt;height:13.9pt;z-index:-25155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" filled="f" stroked="f">
              <v:textbox style="mso-fit-shape-to-text:t" inset="0,0,0,0">
                <w:txbxContent>
                  <w:p w:rsidR="004F3F03" w:rsidRDefault="004F3F03">
                    <w:pPr>
                      <w:pStyle w:val="Hlavikaalebopta0"/>
                      <w:shd w:val="clear" w:color="auto" w:fill="auto"/>
                      <w:tabs>
                        <w:tab w:val="right" w:pos="5477"/>
                        <w:tab w:val="right" w:pos="9638"/>
                      </w:tabs>
                      <w:rPr>
                        <w:sz w:val="36"/>
                        <w:szCs w:val="36"/>
                      </w:rPr>
                    </w:pPr>
                    <w:r>
                      <w:t>ANNEX V</w:t>
                    </w:r>
                    <w:r>
                      <w:tab/>
                      <w:t>ECOMP.2.A</w:t>
                    </w:r>
                    <w:r>
                      <w:tab/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587072" behindDoc="1" locked="0" layoutInCell="1" allowOverlap="1" wp14:anchorId="547572E0" wp14:editId="38C4E64C">
              <wp:simplePos x="0" y="0"/>
              <wp:positionH relativeFrom="page">
                <wp:posOffset>702945</wp:posOffset>
              </wp:positionH>
              <wp:positionV relativeFrom="page">
                <wp:posOffset>9850120</wp:posOffset>
              </wp:positionV>
              <wp:extent cx="6126480" cy="0"/>
              <wp:effectExtent l="0" t="0" r="0" b="0"/>
              <wp:wrapNone/>
              <wp:docPr id="410" name="Shape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8CFD193" id="_x0000_t32" coordsize="21600,21600" o:spt="32" o:oned="t" path="m,l21600,21600e" filled="f">
              <v:path arrowok="t" fillok="f" o:connecttype="none"/>
              <o:lock v:ext="edit" shapetype="t"/>
            </v:shapetype>
            <v:shape id="Shape 410" o:spid="_x0000_s1026" type="#_x0000_t32" style="position:absolute;margin-left:55.35pt;margin-top:775.6pt;width:482.4pt;height:0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03" w:rsidRDefault="004F3F03">
    <w:pPr>
      <w:spacing w:line="1" w:lineRule="exact"/>
    </w:pP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758080" behindDoc="1" locked="0" layoutInCell="1" allowOverlap="1" wp14:anchorId="74C3D32A" wp14:editId="1788DF22">
              <wp:simplePos x="0" y="0"/>
              <wp:positionH relativeFrom="page">
                <wp:posOffset>706120</wp:posOffset>
              </wp:positionH>
              <wp:positionV relativeFrom="page">
                <wp:posOffset>9952990</wp:posOffset>
              </wp:positionV>
              <wp:extent cx="6123305" cy="128270"/>
              <wp:effectExtent l="0" t="0" r="0" b="0"/>
              <wp:wrapNone/>
              <wp:docPr id="401" name="Shape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33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3F03" w:rsidRDefault="004F3F03">
                          <w:pPr>
                            <w:pStyle w:val="Hlavikaalebopta0"/>
                            <w:shd w:val="clear" w:color="auto" w:fill="auto"/>
                            <w:tabs>
                              <w:tab w:val="left" w:pos="6965"/>
                              <w:tab w:val="right" w:pos="9643"/>
                            </w:tabs>
                          </w:pPr>
                          <w:r>
                            <w:t>6674/21 ADD 1</w:t>
                          </w:r>
                          <w:r>
                            <w:tab/>
                            <w:t>JF/vm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65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3D32A" id="_x0000_t202" coordsize="21600,21600" o:spt="202" path="m,l,21600r21600,l21600,xe">
              <v:stroke joinstyle="miter"/>
              <v:path gradientshapeok="t" o:connecttype="rect"/>
            </v:shapetype>
            <v:shape id="Shape 401" o:spid="_x0000_s1028" type="#_x0000_t202" style="position:absolute;margin-left:55.6pt;margin-top:783.7pt;width:482.15pt;height:10.1pt;z-index:-25155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" filled="f" stroked="f">
              <v:textbox style="mso-fit-shape-to-text:t" inset="0,0,0,0">
                <w:txbxContent>
                  <w:p w:rsidR="004F3F03" w:rsidRDefault="004F3F03">
                    <w:pPr>
                      <w:pStyle w:val="Hlavikaalebopta0"/>
                      <w:shd w:val="clear" w:color="auto" w:fill="auto"/>
                      <w:tabs>
                        <w:tab w:val="left" w:pos="6965"/>
                        <w:tab w:val="right" w:pos="9643"/>
                      </w:tabs>
                    </w:pPr>
                    <w:r>
                      <w:t>6674/21 ADD 1</w:t>
                    </w:r>
                    <w:r>
                      <w:tab/>
                      <w:t>JF/vm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65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759104" behindDoc="1" locked="0" layoutInCell="1" allowOverlap="1" wp14:anchorId="78E4CBFA" wp14:editId="7C723199">
              <wp:simplePos x="0" y="0"/>
              <wp:positionH relativeFrom="page">
                <wp:posOffset>709295</wp:posOffset>
              </wp:positionH>
              <wp:positionV relativeFrom="page">
                <wp:posOffset>10154285</wp:posOffset>
              </wp:positionV>
              <wp:extent cx="6120130" cy="176530"/>
              <wp:effectExtent l="0" t="0" r="0" b="0"/>
              <wp:wrapNone/>
              <wp:docPr id="403" name="Shape 4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F3F03" w:rsidRDefault="004F3F03">
                          <w:pPr>
                            <w:pStyle w:val="Hlavikaalebopta0"/>
                            <w:shd w:val="clear" w:color="auto" w:fill="auto"/>
                            <w:tabs>
                              <w:tab w:val="right" w:pos="5477"/>
                              <w:tab w:val="right" w:pos="9638"/>
                            </w:tabs>
                            <w:rPr>
                              <w:sz w:val="36"/>
                              <w:szCs w:val="36"/>
                            </w:rPr>
                          </w:pPr>
                          <w:r>
                            <w:t>ANNEX V</w:t>
                          </w:r>
                          <w:r>
                            <w:tab/>
                            <w:t>ECOMP.2.A</w:t>
                          </w:r>
                          <w:r>
                            <w:tab/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EN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E4CBFA" id="Shape 403" o:spid="_x0000_s1029" type="#_x0000_t202" style="position:absolute;margin-left:55.85pt;margin-top:799.55pt;width:481.9pt;height:13.9pt;z-index:-25155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" filled="f" stroked="f">
              <v:textbox style="mso-fit-shape-to-text:t" inset="0,0,0,0">
                <w:txbxContent>
                  <w:p w:rsidR="004F3F03" w:rsidRDefault="004F3F03">
                    <w:pPr>
                      <w:pStyle w:val="Hlavikaalebopta0"/>
                      <w:shd w:val="clear" w:color="auto" w:fill="auto"/>
                      <w:tabs>
                        <w:tab w:val="right" w:pos="5477"/>
                        <w:tab w:val="right" w:pos="9638"/>
                      </w:tabs>
                      <w:rPr>
                        <w:sz w:val="36"/>
                        <w:szCs w:val="36"/>
                      </w:rPr>
                    </w:pPr>
                    <w:r>
                      <w:t>ANNEX V</w:t>
                    </w:r>
                    <w:r>
                      <w:tab/>
                      <w:t>ECOMP.2.A</w:t>
                    </w:r>
                    <w:r>
                      <w:tab/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588096" behindDoc="1" locked="0" layoutInCell="1" allowOverlap="1" wp14:anchorId="43E5BD7B" wp14:editId="5FA2FE1C">
              <wp:simplePos x="0" y="0"/>
              <wp:positionH relativeFrom="page">
                <wp:posOffset>702945</wp:posOffset>
              </wp:positionH>
              <wp:positionV relativeFrom="page">
                <wp:posOffset>9850120</wp:posOffset>
              </wp:positionV>
              <wp:extent cx="6126480" cy="0"/>
              <wp:effectExtent l="0" t="0" r="0" b="0"/>
              <wp:wrapNone/>
              <wp:docPr id="405" name="Shape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F44F19F" id="_x0000_t32" coordsize="21600,21600" o:spt="32" o:oned="t" path="m,l21600,21600e" filled="f">
              <v:path arrowok="t" fillok="f" o:connecttype="none"/>
              <o:lock v:ext="edit" shapetype="t"/>
            </v:shapetype>
            <v:shape id="Shape 405" o:spid="_x0000_s1026" type="#_x0000_t32" style="position:absolute;margin-left:55.35pt;margin-top:775.6pt;width:482.4pt;height:0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FE" w:rsidRDefault="00A048FE">
      <w:r>
        <w:separator/>
      </w:r>
    </w:p>
  </w:footnote>
  <w:footnote w:type="continuationSeparator" w:id="0">
    <w:p w:rsidR="00A048FE" w:rsidRDefault="00A0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243"/>
    <w:multiLevelType w:val="multilevel"/>
    <w:tmpl w:val="E1F043F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47F46"/>
    <w:multiLevelType w:val="multilevel"/>
    <w:tmpl w:val="0A6655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92FDE"/>
    <w:multiLevelType w:val="hybridMultilevel"/>
    <w:tmpl w:val="1EC26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31AC"/>
    <w:multiLevelType w:val="multilevel"/>
    <w:tmpl w:val="8FECC32A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2E4C29"/>
    <w:multiLevelType w:val="multilevel"/>
    <w:tmpl w:val="285EF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4B5071"/>
    <w:multiLevelType w:val="multilevel"/>
    <w:tmpl w:val="ACEEBF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5917B8"/>
    <w:multiLevelType w:val="multilevel"/>
    <w:tmpl w:val="476A19D6"/>
    <w:lvl w:ilvl="0">
      <w:start w:val="1"/>
      <w:numFmt w:val="decimal"/>
      <w:lvlText w:val="2.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5F7ABC"/>
    <w:multiLevelType w:val="multilevel"/>
    <w:tmpl w:val="7ED8B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CC1357"/>
    <w:multiLevelType w:val="multilevel"/>
    <w:tmpl w:val="34027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FC0109"/>
    <w:multiLevelType w:val="multilevel"/>
    <w:tmpl w:val="B80E6A82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355106"/>
    <w:multiLevelType w:val="multilevel"/>
    <w:tmpl w:val="2A90406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EC22DD"/>
    <w:multiLevelType w:val="hybridMultilevel"/>
    <w:tmpl w:val="46243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618B8"/>
    <w:multiLevelType w:val="multilevel"/>
    <w:tmpl w:val="4D424B04"/>
    <w:lvl w:ilvl="0">
      <w:start w:val="5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F636D5F"/>
    <w:multiLevelType w:val="multilevel"/>
    <w:tmpl w:val="67965CDA"/>
    <w:lvl w:ilvl="0">
      <w:start w:val="1"/>
      <w:numFmt w:val="decimal"/>
      <w:lvlText w:val="2.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0E6"/>
    <w:multiLevelType w:val="multilevel"/>
    <w:tmpl w:val="BA62E4C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2D2D67"/>
    <w:multiLevelType w:val="multilevel"/>
    <w:tmpl w:val="093475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D701575"/>
    <w:multiLevelType w:val="multilevel"/>
    <w:tmpl w:val="B67AF9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07"/>
    <w:rsid w:val="000156E4"/>
    <w:rsid w:val="00044DA6"/>
    <w:rsid w:val="00047461"/>
    <w:rsid w:val="0005651D"/>
    <w:rsid w:val="000935D0"/>
    <w:rsid w:val="000E10A4"/>
    <w:rsid w:val="00102659"/>
    <w:rsid w:val="00134293"/>
    <w:rsid w:val="00217B9C"/>
    <w:rsid w:val="00225438"/>
    <w:rsid w:val="00233C7E"/>
    <w:rsid w:val="002466B8"/>
    <w:rsid w:val="00291B66"/>
    <w:rsid w:val="002A449E"/>
    <w:rsid w:val="003229B9"/>
    <w:rsid w:val="00341883"/>
    <w:rsid w:val="00360BB3"/>
    <w:rsid w:val="0038091A"/>
    <w:rsid w:val="003A7076"/>
    <w:rsid w:val="003F76CE"/>
    <w:rsid w:val="004059E0"/>
    <w:rsid w:val="00435CDA"/>
    <w:rsid w:val="00446F9A"/>
    <w:rsid w:val="004C68A4"/>
    <w:rsid w:val="004E70C9"/>
    <w:rsid w:val="004F3F03"/>
    <w:rsid w:val="005439CE"/>
    <w:rsid w:val="005805A3"/>
    <w:rsid w:val="005B6F37"/>
    <w:rsid w:val="005E2A25"/>
    <w:rsid w:val="005F6DE6"/>
    <w:rsid w:val="0062672F"/>
    <w:rsid w:val="0066370C"/>
    <w:rsid w:val="00665254"/>
    <w:rsid w:val="007051AD"/>
    <w:rsid w:val="007534DF"/>
    <w:rsid w:val="00776AE8"/>
    <w:rsid w:val="007A6FE0"/>
    <w:rsid w:val="008208D2"/>
    <w:rsid w:val="0085768E"/>
    <w:rsid w:val="008B06CC"/>
    <w:rsid w:val="008E0E2A"/>
    <w:rsid w:val="008F270B"/>
    <w:rsid w:val="009403A1"/>
    <w:rsid w:val="00953344"/>
    <w:rsid w:val="009741E0"/>
    <w:rsid w:val="009823FE"/>
    <w:rsid w:val="00995BF0"/>
    <w:rsid w:val="009B27A9"/>
    <w:rsid w:val="009B75A0"/>
    <w:rsid w:val="00A048FE"/>
    <w:rsid w:val="00A05F44"/>
    <w:rsid w:val="00A5123A"/>
    <w:rsid w:val="00A514A8"/>
    <w:rsid w:val="00A861ED"/>
    <w:rsid w:val="00AA7044"/>
    <w:rsid w:val="00AB18A9"/>
    <w:rsid w:val="00AE5C4A"/>
    <w:rsid w:val="00B14D9E"/>
    <w:rsid w:val="00B37FDA"/>
    <w:rsid w:val="00C019AA"/>
    <w:rsid w:val="00C1612E"/>
    <w:rsid w:val="00C22783"/>
    <w:rsid w:val="00C25B86"/>
    <w:rsid w:val="00C4445C"/>
    <w:rsid w:val="00C5799B"/>
    <w:rsid w:val="00C66137"/>
    <w:rsid w:val="00C9611D"/>
    <w:rsid w:val="00CA0972"/>
    <w:rsid w:val="00CB1F1F"/>
    <w:rsid w:val="00CB7D38"/>
    <w:rsid w:val="00CE29A0"/>
    <w:rsid w:val="00CF45C6"/>
    <w:rsid w:val="00CF4FBE"/>
    <w:rsid w:val="00D01ABB"/>
    <w:rsid w:val="00D174F0"/>
    <w:rsid w:val="00D750AD"/>
    <w:rsid w:val="00DA7434"/>
    <w:rsid w:val="00DE15DC"/>
    <w:rsid w:val="00DE265E"/>
    <w:rsid w:val="00E054BE"/>
    <w:rsid w:val="00E55807"/>
    <w:rsid w:val="00EA1721"/>
    <w:rsid w:val="00EE31EA"/>
    <w:rsid w:val="00EF5018"/>
    <w:rsid w:val="00EF7306"/>
    <w:rsid w:val="00F230ED"/>
    <w:rsid w:val="00F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75F39-F92C-4628-BB9F-401D004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ind w:left="400" w:firstLine="770"/>
    </w:pPr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30"/>
    </w:pPr>
    <w:rPr>
      <w:rFonts w:ascii="Times New Roman" w:eastAsia="Times New Roman" w:hAnsi="Times New Roman" w:cs="Times New Roman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0">
    <w:name w:val="Iné"/>
    <w:basedOn w:val="Normlny"/>
    <w:link w:val="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340"/>
      <w:ind w:firstLine="920"/>
      <w:outlineLvl w:val="0"/>
    </w:pPr>
    <w:rPr>
      <w:rFonts w:ascii="Times New Roman" w:eastAsia="Times New Roman" w:hAnsi="Times New Roman" w:cs="Times New Roman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Mriekatabuky">
    <w:name w:val="Table Grid"/>
    <w:basedOn w:val="Normlnatabuka"/>
    <w:uiPriority w:val="39"/>
    <w:rsid w:val="0013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E70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70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70C9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70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70C9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0C9"/>
    <w:rPr>
      <w:rFonts w:ascii="Segoe U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267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672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6267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67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6B5E-FDB0-45ED-9A14-9C145666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DQL EN</dc:creator>
  <cp:keywords/>
  <cp:lastModifiedBy>Ridzoň, Ján</cp:lastModifiedBy>
  <cp:revision>2</cp:revision>
  <dcterms:created xsi:type="dcterms:W3CDTF">2021-09-17T15:49:00Z</dcterms:created>
  <dcterms:modified xsi:type="dcterms:W3CDTF">2021-09-17T15:49:00Z</dcterms:modified>
</cp:coreProperties>
</file>