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A2" w:rsidRPr="00C67D0B" w:rsidRDefault="00FA6DA2" w:rsidP="00FA6DA2">
      <w:pPr>
        <w:jc w:val="center"/>
        <w:rPr>
          <w:rFonts w:asciiTheme="majorHAnsi" w:hAnsiTheme="majorHAnsi" w:cstheme="majorHAnsi"/>
          <w:b/>
          <w:color w:val="002060"/>
          <w:sz w:val="52"/>
          <w:szCs w:val="52"/>
        </w:rPr>
      </w:pPr>
      <w:r w:rsidRPr="00C67D0B">
        <w:rPr>
          <w:rFonts w:asciiTheme="majorHAnsi" w:hAnsiTheme="majorHAnsi" w:cstheme="majorHAnsi"/>
          <w:b/>
          <w:color w:val="002060"/>
          <w:sz w:val="52"/>
          <w:szCs w:val="52"/>
        </w:rPr>
        <w:t>Program Slovensko</w:t>
      </w:r>
    </w:p>
    <w:p w:rsidR="00FA6DA2" w:rsidRPr="00C67D0B" w:rsidRDefault="00FA6DA2" w:rsidP="00FA6DA2">
      <w:pPr>
        <w:jc w:val="center"/>
        <w:rPr>
          <w:rFonts w:asciiTheme="majorHAnsi" w:hAnsiTheme="majorHAnsi" w:cstheme="majorHAnsi"/>
          <w:b/>
          <w:color w:val="002060"/>
          <w:sz w:val="52"/>
          <w:szCs w:val="52"/>
        </w:rPr>
      </w:pPr>
      <w:r w:rsidRPr="00C67D0B">
        <w:rPr>
          <w:rFonts w:asciiTheme="majorHAnsi" w:hAnsiTheme="majorHAnsi" w:cstheme="majorHAnsi"/>
          <w:b/>
          <w:color w:val="002060"/>
          <w:sz w:val="52"/>
          <w:szCs w:val="52"/>
        </w:rPr>
        <w:t>2021 – 2027</w:t>
      </w:r>
    </w:p>
    <w:p w:rsidR="00FA6DA2" w:rsidRPr="00730F5C" w:rsidRDefault="00FA6DA2" w:rsidP="00FA6DA2">
      <w:pPr>
        <w:jc w:val="center"/>
        <w:rPr>
          <w:rFonts w:asciiTheme="majorHAnsi" w:eastAsia="Verdana" w:hAnsiTheme="majorHAnsi" w:cstheme="majorHAnsi"/>
          <w:b/>
          <w:color w:val="002060"/>
          <w:sz w:val="32"/>
          <w:szCs w:val="32"/>
          <w:lang w:eastAsia="ar-SA"/>
        </w:rPr>
      </w:pPr>
      <w:r w:rsidRPr="00730F5C">
        <w:rPr>
          <w:rFonts w:asciiTheme="majorHAnsi" w:eastAsia="Verdana" w:hAnsiTheme="majorHAnsi" w:cstheme="majorHAnsi"/>
          <w:b/>
          <w:color w:val="002060"/>
          <w:sz w:val="32"/>
          <w:szCs w:val="32"/>
          <w:lang w:eastAsia="ar-SA"/>
        </w:rPr>
        <w:t>Prehľad predpokladaných synergických a komplementárnych väzieb Programu Slovensko, Plánu obnovy a odolnosti a ostatných nástrojov podpory EÚ</w:t>
      </w:r>
    </w:p>
    <w:p w:rsidR="000442D4" w:rsidRDefault="000442D4" w:rsidP="000A35BE">
      <w:pPr>
        <w:jc w:val="center"/>
        <w:rPr>
          <w:b/>
          <w:sz w:val="28"/>
          <w:szCs w:val="28"/>
        </w:rPr>
      </w:pPr>
      <w:r w:rsidRPr="00FC2A59">
        <w:rPr>
          <w:rFonts w:cstheme="minorHAnsi"/>
          <w:b/>
          <w:noProof/>
          <w:sz w:val="48"/>
          <w:szCs w:val="48"/>
          <w:lang w:eastAsia="sk-SK"/>
        </w:rPr>
        <w:lastRenderedPageBreak/>
        <w:drawing>
          <wp:inline distT="0" distB="0" distL="0" distR="0" wp14:anchorId="44E873D3" wp14:editId="24B037DA">
            <wp:extent cx="5702300" cy="54546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0" cy="5454650"/>
                    </a:xfrm>
                    <a:prstGeom prst="rect">
                      <a:avLst/>
                    </a:prstGeom>
                    <a:noFill/>
                  </pic:spPr>
                </pic:pic>
              </a:graphicData>
            </a:graphic>
          </wp:inline>
        </w:drawing>
      </w:r>
    </w:p>
    <w:p w:rsidR="00D24DF2" w:rsidRPr="005A62DF" w:rsidRDefault="005A62DF" w:rsidP="00D24DF2">
      <w:pPr>
        <w:jc w:val="both"/>
        <w:rPr>
          <w:sz w:val="24"/>
          <w:szCs w:val="24"/>
        </w:rPr>
      </w:pPr>
      <w:r w:rsidRPr="005A62DF">
        <w:rPr>
          <w:sz w:val="24"/>
          <w:szCs w:val="24"/>
        </w:rPr>
        <w:lastRenderedPageBreak/>
        <w:t>Tento dokument bol vypracovaný v</w:t>
      </w:r>
      <w:r w:rsidR="00D24DF2" w:rsidRPr="005A62DF">
        <w:rPr>
          <w:sz w:val="24"/>
          <w:szCs w:val="24"/>
        </w:rPr>
        <w:t xml:space="preserve"> rámci podpornej dokumentácie k</w:t>
      </w:r>
      <w:r w:rsidRPr="005A62DF">
        <w:rPr>
          <w:sz w:val="24"/>
          <w:szCs w:val="24"/>
        </w:rPr>
        <w:t> </w:t>
      </w:r>
      <w:r w:rsidR="00D24DF2" w:rsidRPr="005A62DF">
        <w:rPr>
          <w:sz w:val="24"/>
          <w:szCs w:val="24"/>
        </w:rPr>
        <w:t>P</w:t>
      </w:r>
      <w:r w:rsidRPr="005A62DF">
        <w:rPr>
          <w:sz w:val="24"/>
          <w:szCs w:val="24"/>
        </w:rPr>
        <w:t>rogramu Slovensko ako komplexný dokument, ktorý poskytuje prehľad predpokladaných synergických a komplementárnych väzieb Programu Slovensko</w:t>
      </w:r>
      <w:r w:rsidR="006701E7">
        <w:rPr>
          <w:sz w:val="24"/>
          <w:szCs w:val="24"/>
        </w:rPr>
        <w:t xml:space="preserve"> jednotlivých fondov(EFRR,EFS,KF,ENRAF,EPFRV)</w:t>
      </w:r>
      <w:r w:rsidRPr="005A62DF">
        <w:rPr>
          <w:sz w:val="24"/>
          <w:szCs w:val="24"/>
        </w:rPr>
        <w:t>, Plánu obnovy a</w:t>
      </w:r>
      <w:r w:rsidR="005353E8">
        <w:rPr>
          <w:sz w:val="24"/>
          <w:szCs w:val="24"/>
        </w:rPr>
        <w:t> </w:t>
      </w:r>
      <w:r w:rsidRPr="005A62DF">
        <w:rPr>
          <w:sz w:val="24"/>
          <w:szCs w:val="24"/>
        </w:rPr>
        <w:t>odolnosti</w:t>
      </w:r>
      <w:r w:rsidR="005353E8">
        <w:rPr>
          <w:sz w:val="24"/>
          <w:szCs w:val="24"/>
        </w:rPr>
        <w:t xml:space="preserve"> SR</w:t>
      </w:r>
      <w:r w:rsidR="006701E7">
        <w:rPr>
          <w:sz w:val="24"/>
          <w:szCs w:val="24"/>
        </w:rPr>
        <w:t>, priamo riadených programov</w:t>
      </w:r>
      <w:r w:rsidRPr="005A62DF">
        <w:rPr>
          <w:sz w:val="24"/>
          <w:szCs w:val="24"/>
        </w:rPr>
        <w:t xml:space="preserve"> a ostatných nástrojov podpory EÚ. </w:t>
      </w:r>
      <w:r w:rsidR="00D24DF2" w:rsidRPr="005A62DF">
        <w:rPr>
          <w:sz w:val="24"/>
          <w:szCs w:val="24"/>
        </w:rPr>
        <w:t xml:space="preserve"> </w:t>
      </w:r>
      <w:r w:rsidRPr="005A62DF">
        <w:rPr>
          <w:sz w:val="24"/>
          <w:szCs w:val="24"/>
        </w:rPr>
        <w:t xml:space="preserve">MIRRI SR zároveň </w:t>
      </w:r>
      <w:r w:rsidR="00D24DF2" w:rsidRPr="005A62DF">
        <w:rPr>
          <w:sz w:val="24"/>
          <w:szCs w:val="24"/>
        </w:rPr>
        <w:t>vypracovalo aj</w:t>
      </w:r>
      <w:r w:rsidR="00CC2740">
        <w:rPr>
          <w:sz w:val="24"/>
          <w:szCs w:val="24"/>
        </w:rPr>
        <w:t xml:space="preserve"> špecifickú</w:t>
      </w:r>
      <w:r w:rsidR="00D24DF2" w:rsidRPr="005A62DF">
        <w:rPr>
          <w:sz w:val="24"/>
          <w:szCs w:val="24"/>
        </w:rPr>
        <w:t xml:space="preserve"> tabuľku synergií</w:t>
      </w:r>
      <w:r w:rsidR="00CC2740">
        <w:rPr>
          <w:sz w:val="24"/>
          <w:szCs w:val="24"/>
        </w:rPr>
        <w:t xml:space="preserve">, komplementarít </w:t>
      </w:r>
      <w:r w:rsidR="00D24DF2" w:rsidRPr="005A62DF">
        <w:rPr>
          <w:sz w:val="24"/>
          <w:szCs w:val="24"/>
        </w:rPr>
        <w:t xml:space="preserve"> (excel súbor), ktorá podrobnejšie zachytáva synergie medzi opatreniami P</w:t>
      </w:r>
      <w:r w:rsidRPr="005A62DF">
        <w:rPr>
          <w:sz w:val="24"/>
          <w:szCs w:val="24"/>
        </w:rPr>
        <w:t>rogramu Slovensko</w:t>
      </w:r>
      <w:r w:rsidR="00D24DF2" w:rsidRPr="005A62DF">
        <w:rPr>
          <w:sz w:val="24"/>
          <w:szCs w:val="24"/>
        </w:rPr>
        <w:t xml:space="preserve"> a</w:t>
      </w:r>
      <w:r w:rsidRPr="005A62DF">
        <w:rPr>
          <w:sz w:val="24"/>
          <w:szCs w:val="24"/>
        </w:rPr>
        <w:t> </w:t>
      </w:r>
      <w:r w:rsidR="00D24DF2" w:rsidRPr="005A62DF">
        <w:rPr>
          <w:sz w:val="24"/>
          <w:szCs w:val="24"/>
        </w:rPr>
        <w:t>P</w:t>
      </w:r>
      <w:r w:rsidRPr="005A62DF">
        <w:rPr>
          <w:sz w:val="24"/>
          <w:szCs w:val="24"/>
        </w:rPr>
        <w:t>lánom obnovy a odolnosti SR</w:t>
      </w:r>
      <w:r w:rsidR="00D24DF2" w:rsidRPr="005A62DF">
        <w:rPr>
          <w:sz w:val="24"/>
          <w:szCs w:val="24"/>
        </w:rPr>
        <w:t xml:space="preserve"> vrátane </w:t>
      </w:r>
      <w:r w:rsidRPr="005A62DF">
        <w:rPr>
          <w:sz w:val="24"/>
          <w:szCs w:val="24"/>
        </w:rPr>
        <w:t xml:space="preserve">definovaných </w:t>
      </w:r>
      <w:r w:rsidR="00D24DF2" w:rsidRPr="005A62DF">
        <w:rPr>
          <w:sz w:val="24"/>
          <w:szCs w:val="24"/>
        </w:rPr>
        <w:t xml:space="preserve">deliacich línií </w:t>
      </w:r>
      <w:r w:rsidRPr="005A62DF">
        <w:rPr>
          <w:sz w:val="24"/>
          <w:szCs w:val="24"/>
        </w:rPr>
        <w:t xml:space="preserve">až </w:t>
      </w:r>
      <w:r w:rsidR="00D24DF2" w:rsidRPr="005A62DF">
        <w:rPr>
          <w:sz w:val="24"/>
          <w:szCs w:val="24"/>
        </w:rPr>
        <w:t>na úrov</w:t>
      </w:r>
      <w:r>
        <w:rPr>
          <w:sz w:val="24"/>
          <w:szCs w:val="24"/>
        </w:rPr>
        <w:t>e</w:t>
      </w:r>
      <w:r w:rsidRPr="005A62DF">
        <w:rPr>
          <w:sz w:val="24"/>
          <w:szCs w:val="24"/>
        </w:rPr>
        <w:t>ň</w:t>
      </w:r>
      <w:r w:rsidR="00D24DF2" w:rsidRPr="005A62DF">
        <w:rPr>
          <w:sz w:val="24"/>
          <w:szCs w:val="24"/>
        </w:rPr>
        <w:t xml:space="preserve"> opatrení a aktivít. </w:t>
      </w:r>
      <w:r w:rsidR="00CC2740">
        <w:rPr>
          <w:sz w:val="24"/>
          <w:szCs w:val="24"/>
        </w:rPr>
        <w:t>Tento dokument</w:t>
      </w:r>
      <w:r w:rsidR="006F1346">
        <w:rPr>
          <w:sz w:val="24"/>
          <w:szCs w:val="24"/>
        </w:rPr>
        <w:t>(synergická tabuľka)</w:t>
      </w:r>
      <w:r w:rsidR="00CC2740">
        <w:rPr>
          <w:sz w:val="24"/>
          <w:szCs w:val="24"/>
        </w:rPr>
        <w:t xml:space="preserve"> je živým dokumentom, ktorý  </w:t>
      </w:r>
      <w:r w:rsidR="00D24DF2" w:rsidRPr="005A62DF">
        <w:rPr>
          <w:sz w:val="24"/>
          <w:szCs w:val="24"/>
        </w:rPr>
        <w:t>MIRRI SR</w:t>
      </w:r>
      <w:r w:rsidR="00CC2740">
        <w:rPr>
          <w:sz w:val="24"/>
          <w:szCs w:val="24"/>
        </w:rPr>
        <w:t xml:space="preserve"> v súčinnosti s ÚVSR(NIKA)</w:t>
      </w:r>
      <w:r w:rsidR="00D24DF2" w:rsidRPr="005A62DF">
        <w:rPr>
          <w:sz w:val="24"/>
          <w:szCs w:val="24"/>
        </w:rPr>
        <w:t xml:space="preserve"> je oprávnené pravidelne aktualizovať podľa potreby a v prípade zmien vyžadujúcich si jej úpravu (napr. pri nových informáciách o</w:t>
      </w:r>
      <w:r w:rsidR="00CC2740">
        <w:rPr>
          <w:sz w:val="24"/>
          <w:szCs w:val="24"/>
        </w:rPr>
        <w:t> </w:t>
      </w:r>
      <w:r w:rsidR="00D24DF2" w:rsidRPr="005A62DF">
        <w:rPr>
          <w:sz w:val="24"/>
          <w:szCs w:val="24"/>
        </w:rPr>
        <w:t>aktivitách</w:t>
      </w:r>
      <w:r w:rsidR="00CC2740">
        <w:rPr>
          <w:sz w:val="24"/>
          <w:szCs w:val="24"/>
        </w:rPr>
        <w:t>, revíziách</w:t>
      </w:r>
      <w:r w:rsidR="006F1346">
        <w:rPr>
          <w:sz w:val="24"/>
          <w:szCs w:val="24"/>
        </w:rPr>
        <w:t xml:space="preserve"> PSK resp. RRF</w:t>
      </w:r>
      <w:bookmarkStart w:id="0" w:name="_GoBack"/>
      <w:bookmarkEnd w:id="0"/>
      <w:r w:rsidR="00D24DF2" w:rsidRPr="005A62DF">
        <w:rPr>
          <w:sz w:val="24"/>
          <w:szCs w:val="24"/>
        </w:rPr>
        <w:t xml:space="preserve"> opatreniach, pri výzvach z ktorých vyplynú nové synergické prepojenia, príp. komplementarity, revíziách programov, ktoré budú mať dopad na opatrenia/aktivity).</w:t>
      </w:r>
    </w:p>
    <w:p w:rsidR="00190860" w:rsidRPr="00D24DF2" w:rsidRDefault="00D24DF2" w:rsidP="00D24DF2">
      <w:pPr>
        <w:jc w:val="both"/>
        <w:rPr>
          <w:sz w:val="24"/>
          <w:szCs w:val="24"/>
        </w:rPr>
      </w:pPr>
      <w:r w:rsidRPr="005A62DF">
        <w:rPr>
          <w:sz w:val="24"/>
          <w:szCs w:val="24"/>
        </w:rPr>
        <w:t>MIRRI SR vypracovalo Systém implementácie synergií, v ktorom zadefinovalo mechanizmus/systém implementácie synergií, ich administratívne zabezpečenie, činnosti riadiaceho výboru. V rámci tohto mechanizmu MIRRI bude optimalizovať mechanizmy na koordináciu synergických a komplementárnych účinkov medzi fondmi EÚ, RRF a ostatnými nástrojmi podpory EÚ a SR, skúmať výzvy a vyzvania riadiaceho orgánu a sprostredkovateľských orgánov  Programu Slovensko, RO programov cezhraničnej spolupráce a vykonávateľov POO z hľadiska synergických a komplementárnych účinkov, postupovať pri skúmaní výziev podľa harmonogramu výziev na príslušný rok/semester od riadiaceho orgánu a vykonávateľov a vypracovávať spoločné stanovisko pre predkladateľov výziev/vyzvaní o synergiách a komplementaritách pre každú výzvu/vyzvanie.</w:t>
      </w:r>
    </w:p>
    <w:p w:rsidR="00D24DF2" w:rsidRDefault="00D24DF2" w:rsidP="00D24DF2">
      <w:pPr>
        <w:jc w:val="both"/>
        <w:rPr>
          <w:b/>
          <w:sz w:val="28"/>
          <w:szCs w:val="28"/>
        </w:rPr>
      </w:pPr>
    </w:p>
    <w:p w:rsidR="00D24DF2" w:rsidRDefault="00D24DF2" w:rsidP="00D24DF2">
      <w:pPr>
        <w:jc w:val="both"/>
        <w:rPr>
          <w:b/>
          <w:sz w:val="28"/>
          <w:szCs w:val="28"/>
        </w:rPr>
      </w:pPr>
    </w:p>
    <w:p w:rsidR="00D24DF2" w:rsidRDefault="00D24DF2" w:rsidP="00D24DF2">
      <w:pPr>
        <w:jc w:val="both"/>
        <w:rPr>
          <w:b/>
          <w:sz w:val="28"/>
          <w:szCs w:val="28"/>
        </w:rPr>
      </w:pPr>
    </w:p>
    <w:p w:rsidR="00D24DF2" w:rsidRDefault="00D24DF2" w:rsidP="00D24DF2">
      <w:pPr>
        <w:jc w:val="both"/>
        <w:rPr>
          <w:b/>
          <w:sz w:val="28"/>
          <w:szCs w:val="28"/>
        </w:rPr>
      </w:pPr>
    </w:p>
    <w:p w:rsidR="00D24DF2" w:rsidRDefault="00D24DF2" w:rsidP="00D24DF2">
      <w:pPr>
        <w:jc w:val="both"/>
        <w:rPr>
          <w:b/>
          <w:sz w:val="28"/>
          <w:szCs w:val="28"/>
        </w:rPr>
      </w:pPr>
    </w:p>
    <w:p w:rsidR="00D24DF2" w:rsidRDefault="00D24DF2" w:rsidP="00D24DF2">
      <w:pPr>
        <w:jc w:val="both"/>
        <w:rPr>
          <w:b/>
          <w:sz w:val="28"/>
          <w:szCs w:val="28"/>
        </w:rPr>
      </w:pPr>
    </w:p>
    <w:p w:rsidR="00D24DF2" w:rsidRDefault="00D24DF2" w:rsidP="00D24DF2">
      <w:pPr>
        <w:jc w:val="both"/>
        <w:rPr>
          <w:b/>
          <w:sz w:val="28"/>
          <w:szCs w:val="28"/>
        </w:rPr>
      </w:pPr>
    </w:p>
    <w:p w:rsidR="00D24DF2" w:rsidRPr="00C47256" w:rsidRDefault="00D24DF2" w:rsidP="00D24DF2">
      <w:pPr>
        <w:jc w:val="both"/>
        <w:rPr>
          <w:b/>
          <w:sz w:val="28"/>
          <w:szCs w:val="28"/>
        </w:rPr>
      </w:pPr>
    </w:p>
    <w:tbl>
      <w:tblPr>
        <w:tblStyle w:val="Mriekatabuky"/>
        <w:tblW w:w="0" w:type="auto"/>
        <w:tblLook w:val="04A0" w:firstRow="1" w:lastRow="0" w:firstColumn="1" w:lastColumn="0" w:noHBand="0" w:noVBand="1"/>
      </w:tblPr>
      <w:tblGrid>
        <w:gridCol w:w="3014"/>
        <w:gridCol w:w="908"/>
        <w:gridCol w:w="858"/>
        <w:gridCol w:w="798"/>
        <w:gridCol w:w="947"/>
        <w:gridCol w:w="824"/>
        <w:gridCol w:w="1212"/>
        <w:gridCol w:w="1373"/>
        <w:gridCol w:w="1117"/>
        <w:gridCol w:w="950"/>
        <w:gridCol w:w="1087"/>
        <w:gridCol w:w="906"/>
      </w:tblGrid>
      <w:tr w:rsidR="000A5AC4" w:rsidTr="000A5AC4">
        <w:trPr>
          <w:trHeight w:val="1187"/>
        </w:trPr>
        <w:tc>
          <w:tcPr>
            <w:tcW w:w="3049" w:type="dxa"/>
            <w:shd w:val="clear" w:color="auto" w:fill="C45911" w:themeFill="accent2" w:themeFillShade="BF"/>
          </w:tcPr>
          <w:p w:rsidR="000A5AC4" w:rsidRPr="007201CD" w:rsidRDefault="000A5AC4">
            <w:pPr>
              <w:rPr>
                <w:b/>
                <w:color w:val="FFFFFF" w:themeColor="background1"/>
              </w:rPr>
            </w:pPr>
            <w:r w:rsidRPr="007201CD">
              <w:rPr>
                <w:color w:val="FFFFFF" w:themeColor="background1"/>
              </w:rPr>
              <w:t xml:space="preserve">              </w:t>
            </w:r>
            <w:r w:rsidRPr="007201CD">
              <w:rPr>
                <w:b/>
                <w:color w:val="FFFFFF" w:themeColor="background1"/>
              </w:rPr>
              <w:t xml:space="preserve">                   Fond/nástroj</w:t>
            </w:r>
          </w:p>
          <w:p w:rsidR="000A5AC4" w:rsidRPr="007201CD" w:rsidRDefault="000A5AC4">
            <w:pPr>
              <w:rPr>
                <w:color w:val="FFFFFF" w:themeColor="background1"/>
              </w:rPr>
            </w:pPr>
          </w:p>
          <w:p w:rsidR="000A5AC4" w:rsidRPr="007201CD" w:rsidRDefault="000A5AC4">
            <w:pPr>
              <w:rPr>
                <w:b/>
                <w:color w:val="FFFFFF" w:themeColor="background1"/>
              </w:rPr>
            </w:pPr>
            <w:r w:rsidRPr="007201CD">
              <w:rPr>
                <w:b/>
                <w:color w:val="FFFFFF" w:themeColor="background1"/>
              </w:rPr>
              <w:t>Ciele</w:t>
            </w:r>
          </w:p>
          <w:p w:rsidR="000A5AC4" w:rsidRPr="007201CD" w:rsidRDefault="000A5AC4">
            <w:pPr>
              <w:rPr>
                <w:b/>
                <w:color w:val="FFFFFF" w:themeColor="background1"/>
              </w:rPr>
            </w:pPr>
            <w:r w:rsidRPr="007201CD">
              <w:rPr>
                <w:b/>
                <w:color w:val="FFFFFF" w:themeColor="background1"/>
              </w:rPr>
              <w:t>Programu</w:t>
            </w:r>
          </w:p>
          <w:p w:rsidR="000A5AC4" w:rsidRPr="007201CD" w:rsidRDefault="000A5AC4">
            <w:pPr>
              <w:rPr>
                <w:b/>
                <w:color w:val="FFFFFF" w:themeColor="background1"/>
              </w:rPr>
            </w:pPr>
            <w:r w:rsidRPr="007201CD">
              <w:rPr>
                <w:b/>
                <w:color w:val="FFFFFF" w:themeColor="background1"/>
              </w:rPr>
              <w:t>Slovensko</w:t>
            </w:r>
          </w:p>
        </w:tc>
        <w:tc>
          <w:tcPr>
            <w:tcW w:w="920" w:type="dxa"/>
            <w:shd w:val="clear" w:color="auto" w:fill="C45911" w:themeFill="accent2" w:themeFillShade="BF"/>
          </w:tcPr>
          <w:p w:rsidR="000A5AC4" w:rsidRPr="007201CD" w:rsidRDefault="000A5AC4">
            <w:pPr>
              <w:rPr>
                <w:b/>
                <w:color w:val="FFFFFF" w:themeColor="background1"/>
              </w:rPr>
            </w:pPr>
            <w:r w:rsidRPr="007201CD">
              <w:rPr>
                <w:b/>
                <w:color w:val="FFFFFF" w:themeColor="background1"/>
              </w:rPr>
              <w:t>EFRR</w:t>
            </w:r>
          </w:p>
        </w:tc>
        <w:tc>
          <w:tcPr>
            <w:tcW w:w="868" w:type="dxa"/>
            <w:shd w:val="clear" w:color="auto" w:fill="C45911" w:themeFill="accent2" w:themeFillShade="BF"/>
          </w:tcPr>
          <w:p w:rsidR="000A5AC4" w:rsidRPr="007201CD" w:rsidRDefault="000A5AC4">
            <w:pPr>
              <w:rPr>
                <w:b/>
                <w:color w:val="FFFFFF" w:themeColor="background1"/>
              </w:rPr>
            </w:pPr>
            <w:r w:rsidRPr="007201CD">
              <w:rPr>
                <w:b/>
                <w:color w:val="FFFFFF" w:themeColor="background1"/>
              </w:rPr>
              <w:t>ESF+</w:t>
            </w:r>
          </w:p>
        </w:tc>
        <w:tc>
          <w:tcPr>
            <w:tcW w:w="811" w:type="dxa"/>
            <w:shd w:val="clear" w:color="auto" w:fill="C45911" w:themeFill="accent2" w:themeFillShade="BF"/>
          </w:tcPr>
          <w:p w:rsidR="000A5AC4" w:rsidRPr="007201CD" w:rsidRDefault="000A5AC4">
            <w:pPr>
              <w:rPr>
                <w:b/>
                <w:color w:val="FFFFFF" w:themeColor="background1"/>
              </w:rPr>
            </w:pPr>
            <w:r w:rsidRPr="007201CD">
              <w:rPr>
                <w:b/>
                <w:color w:val="FFFFFF" w:themeColor="background1"/>
              </w:rPr>
              <w:t>FST</w:t>
            </w:r>
          </w:p>
        </w:tc>
        <w:tc>
          <w:tcPr>
            <w:tcW w:w="954" w:type="dxa"/>
            <w:shd w:val="clear" w:color="auto" w:fill="C45911" w:themeFill="accent2" w:themeFillShade="BF"/>
          </w:tcPr>
          <w:p w:rsidR="000A5AC4" w:rsidRPr="007201CD" w:rsidRDefault="000A5AC4">
            <w:pPr>
              <w:rPr>
                <w:b/>
                <w:color w:val="FFFFFF" w:themeColor="background1"/>
              </w:rPr>
            </w:pPr>
            <w:r w:rsidRPr="007201CD">
              <w:rPr>
                <w:b/>
                <w:color w:val="FFFFFF" w:themeColor="background1"/>
              </w:rPr>
              <w:t>EPFRV</w:t>
            </w:r>
          </w:p>
        </w:tc>
        <w:tc>
          <w:tcPr>
            <w:tcW w:w="833" w:type="dxa"/>
            <w:shd w:val="clear" w:color="auto" w:fill="C45911" w:themeFill="accent2" w:themeFillShade="BF"/>
          </w:tcPr>
          <w:p w:rsidR="000A5AC4" w:rsidRPr="007201CD" w:rsidRDefault="000A5AC4">
            <w:pPr>
              <w:rPr>
                <w:b/>
                <w:color w:val="FFFFFF" w:themeColor="background1"/>
              </w:rPr>
            </w:pPr>
            <w:r w:rsidRPr="007201CD">
              <w:rPr>
                <w:b/>
                <w:color w:val="FFFFFF" w:themeColor="background1"/>
              </w:rPr>
              <w:t>POO</w:t>
            </w:r>
          </w:p>
        </w:tc>
        <w:tc>
          <w:tcPr>
            <w:tcW w:w="1230" w:type="dxa"/>
            <w:shd w:val="clear" w:color="auto" w:fill="C45911" w:themeFill="accent2" w:themeFillShade="BF"/>
          </w:tcPr>
          <w:p w:rsidR="000A5AC4" w:rsidRPr="007201CD" w:rsidRDefault="00350123" w:rsidP="00350123">
            <w:pPr>
              <w:jc w:val="center"/>
              <w:rPr>
                <w:b/>
                <w:color w:val="FFFFFF" w:themeColor="background1"/>
              </w:rPr>
            </w:pPr>
            <w:r w:rsidRPr="007201CD">
              <w:rPr>
                <w:b/>
                <w:color w:val="FFFFFF" w:themeColor="background1"/>
              </w:rPr>
              <w:t>ENRAF</w:t>
            </w:r>
          </w:p>
        </w:tc>
        <w:tc>
          <w:tcPr>
            <w:tcW w:w="1247" w:type="dxa"/>
            <w:shd w:val="clear" w:color="auto" w:fill="C45911" w:themeFill="accent2" w:themeFillShade="BF"/>
          </w:tcPr>
          <w:p w:rsidR="000A5AC4" w:rsidRPr="007201CD" w:rsidRDefault="000A5AC4">
            <w:pPr>
              <w:rPr>
                <w:b/>
                <w:color w:val="FFFFFF" w:themeColor="background1"/>
              </w:rPr>
            </w:pPr>
            <w:r w:rsidRPr="007201CD">
              <w:rPr>
                <w:b/>
                <w:color w:val="FFFFFF" w:themeColor="background1"/>
              </w:rPr>
              <w:t>Ďalšie programy a nástroje EÚ</w:t>
            </w:r>
          </w:p>
        </w:tc>
        <w:tc>
          <w:tcPr>
            <w:tcW w:w="1118" w:type="dxa"/>
            <w:shd w:val="clear" w:color="auto" w:fill="C45911" w:themeFill="accent2" w:themeFillShade="BF"/>
          </w:tcPr>
          <w:p w:rsidR="000A5AC4" w:rsidRPr="007201CD" w:rsidRDefault="000A5AC4">
            <w:pPr>
              <w:rPr>
                <w:b/>
                <w:color w:val="FFFFFF" w:themeColor="background1"/>
              </w:rPr>
            </w:pPr>
            <w:r w:rsidRPr="007201CD">
              <w:rPr>
                <w:b/>
                <w:color w:val="FFFFFF" w:themeColor="background1"/>
              </w:rPr>
              <w:t>Programy Interreg</w:t>
            </w:r>
          </w:p>
        </w:tc>
        <w:tc>
          <w:tcPr>
            <w:tcW w:w="955" w:type="dxa"/>
            <w:shd w:val="clear" w:color="auto" w:fill="C45911" w:themeFill="accent2" w:themeFillShade="BF"/>
          </w:tcPr>
          <w:p w:rsidR="000A5AC4" w:rsidRPr="007201CD" w:rsidRDefault="000A5AC4">
            <w:pPr>
              <w:rPr>
                <w:b/>
                <w:color w:val="FFFFFF" w:themeColor="background1"/>
              </w:rPr>
            </w:pPr>
            <w:r w:rsidRPr="007201CD">
              <w:rPr>
                <w:b/>
                <w:color w:val="FFFFFF" w:themeColor="background1"/>
              </w:rPr>
              <w:t>EUSRD</w:t>
            </w:r>
          </w:p>
        </w:tc>
        <w:tc>
          <w:tcPr>
            <w:tcW w:w="1088" w:type="dxa"/>
            <w:shd w:val="clear" w:color="auto" w:fill="C45911" w:themeFill="accent2" w:themeFillShade="BF"/>
          </w:tcPr>
          <w:p w:rsidR="000A5AC4" w:rsidRPr="007201CD" w:rsidRDefault="000A5AC4">
            <w:pPr>
              <w:rPr>
                <w:b/>
                <w:color w:val="FFFFFF" w:themeColor="background1"/>
              </w:rPr>
            </w:pPr>
            <w:r w:rsidRPr="007201CD">
              <w:rPr>
                <w:b/>
                <w:color w:val="FFFFFF" w:themeColor="background1"/>
              </w:rPr>
              <w:t>Iniciatívy EK</w:t>
            </w:r>
          </w:p>
        </w:tc>
        <w:tc>
          <w:tcPr>
            <w:tcW w:w="921" w:type="dxa"/>
            <w:shd w:val="clear" w:color="auto" w:fill="C45911" w:themeFill="accent2" w:themeFillShade="BF"/>
          </w:tcPr>
          <w:p w:rsidR="000A5AC4" w:rsidRPr="007201CD" w:rsidRDefault="000A5AC4">
            <w:pPr>
              <w:rPr>
                <w:b/>
                <w:color w:val="FFFFFF" w:themeColor="background1"/>
              </w:rPr>
            </w:pPr>
            <w:r w:rsidRPr="007201CD">
              <w:rPr>
                <w:b/>
                <w:color w:val="FFFFFF" w:themeColor="background1"/>
              </w:rPr>
              <w:t>CAP</w:t>
            </w:r>
          </w:p>
        </w:tc>
      </w:tr>
      <w:tr w:rsidR="000A5AC4" w:rsidTr="000A5AC4">
        <w:tc>
          <w:tcPr>
            <w:tcW w:w="13073" w:type="dxa"/>
            <w:gridSpan w:val="11"/>
            <w:shd w:val="clear" w:color="auto" w:fill="F4B083" w:themeFill="accent2" w:themeFillTint="99"/>
          </w:tcPr>
          <w:p w:rsidR="000A5AC4" w:rsidRPr="005E70C3" w:rsidRDefault="000A5AC4" w:rsidP="005E70C3">
            <w:pPr>
              <w:spacing w:before="60" w:after="60"/>
              <w:rPr>
                <w:rFonts w:cstheme="minorHAnsi"/>
                <w:b/>
              </w:rPr>
            </w:pPr>
            <w:r>
              <w:rPr>
                <w:rFonts w:cstheme="minorHAnsi"/>
                <w:b/>
              </w:rPr>
              <w:t xml:space="preserve">Cieľ politiky </w:t>
            </w:r>
            <w:r w:rsidRPr="003A6220">
              <w:rPr>
                <w:rFonts w:cstheme="minorHAnsi"/>
                <w:b/>
              </w:rPr>
              <w:t>1</w:t>
            </w:r>
            <w:r>
              <w:rPr>
                <w:rFonts w:cstheme="minorHAnsi"/>
                <w:b/>
              </w:rPr>
              <w:t xml:space="preserve"> </w:t>
            </w:r>
            <w:r w:rsidRPr="003A6220">
              <w:rPr>
                <w:rFonts w:cstheme="minorHAnsi"/>
                <w:b/>
              </w:rPr>
              <w:t xml:space="preserve">Konkurencieschopnejšia a inteligentnejšia Európa </w:t>
            </w:r>
          </w:p>
        </w:tc>
        <w:tc>
          <w:tcPr>
            <w:tcW w:w="921" w:type="dxa"/>
            <w:shd w:val="clear" w:color="auto" w:fill="F4B083" w:themeFill="accent2" w:themeFillTint="99"/>
          </w:tcPr>
          <w:p w:rsidR="000A5AC4" w:rsidRDefault="000A5AC4" w:rsidP="005E70C3">
            <w:pPr>
              <w:spacing w:before="60" w:after="60"/>
              <w:rPr>
                <w:rFonts w:cstheme="minorHAnsi"/>
                <w:b/>
              </w:rPr>
            </w:pPr>
          </w:p>
        </w:tc>
      </w:tr>
      <w:tr w:rsidR="000A5AC4" w:rsidTr="000A5AC4">
        <w:tc>
          <w:tcPr>
            <w:tcW w:w="13073" w:type="dxa"/>
            <w:gridSpan w:val="11"/>
            <w:shd w:val="clear" w:color="auto" w:fill="FBE4D5" w:themeFill="accent2" w:themeFillTint="33"/>
          </w:tcPr>
          <w:p w:rsidR="000A5AC4" w:rsidRDefault="000A5AC4">
            <w:r>
              <w:rPr>
                <w:rFonts w:cstheme="minorHAnsi"/>
                <w:b/>
              </w:rPr>
              <w:t>Priorita 1 Veda, výskum a inovácie</w:t>
            </w:r>
          </w:p>
        </w:tc>
        <w:tc>
          <w:tcPr>
            <w:tcW w:w="921" w:type="dxa"/>
            <w:shd w:val="clear" w:color="auto" w:fill="FBE4D5" w:themeFill="accent2" w:themeFillTint="33"/>
          </w:tcPr>
          <w:p w:rsidR="000A5AC4" w:rsidRDefault="000A5AC4">
            <w:pPr>
              <w:rPr>
                <w:rFonts w:cstheme="minorHAnsi"/>
                <w:b/>
              </w:rPr>
            </w:pPr>
          </w:p>
        </w:tc>
      </w:tr>
      <w:tr w:rsidR="000A5AC4" w:rsidTr="000A5AC4">
        <w:tc>
          <w:tcPr>
            <w:tcW w:w="3049" w:type="dxa"/>
          </w:tcPr>
          <w:p w:rsidR="000A5AC4" w:rsidRPr="00BA0F34" w:rsidRDefault="000A5AC4" w:rsidP="00BA0F34">
            <w:pPr>
              <w:spacing w:before="60" w:after="60"/>
              <w:rPr>
                <w:rFonts w:cstheme="minorHAnsi"/>
              </w:rPr>
            </w:pPr>
            <w:r w:rsidRPr="00BA0F34">
              <w:rPr>
                <w:rFonts w:cstheme="minorHAnsi"/>
              </w:rPr>
              <w:t>RSO1.1</w:t>
            </w:r>
          </w:p>
          <w:p w:rsidR="000A5AC4" w:rsidRPr="00BA0F34" w:rsidRDefault="000A5AC4" w:rsidP="00BA0F34">
            <w:r w:rsidRPr="00BA0F34">
              <w:rPr>
                <w:rFonts w:cstheme="minorHAnsi"/>
              </w:rPr>
              <w:t>Rozvoj a rozšírenie výskumných a inovačných kapacít a využívania pokročilých technológií</w:t>
            </w:r>
          </w:p>
        </w:tc>
        <w:tc>
          <w:tcPr>
            <w:tcW w:w="920" w:type="dxa"/>
          </w:tcPr>
          <w:p w:rsidR="000A5AC4" w:rsidRDefault="000A5AC4">
            <w:r>
              <w:t>x</w:t>
            </w:r>
          </w:p>
        </w:tc>
        <w:tc>
          <w:tcPr>
            <w:tcW w:w="868" w:type="dxa"/>
          </w:tcPr>
          <w:p w:rsidR="000A5AC4" w:rsidRDefault="000A5AC4"/>
        </w:tc>
        <w:tc>
          <w:tcPr>
            <w:tcW w:w="811" w:type="dxa"/>
          </w:tcPr>
          <w:p w:rsidR="000A5AC4" w:rsidRDefault="000A5AC4">
            <w:r>
              <w:t>x</w:t>
            </w:r>
          </w:p>
        </w:tc>
        <w:tc>
          <w:tcPr>
            <w:tcW w:w="954" w:type="dxa"/>
          </w:tcPr>
          <w:p w:rsidR="000A5AC4" w:rsidRDefault="00A20198">
            <w:r>
              <w:t>x</w:t>
            </w:r>
          </w:p>
        </w:tc>
        <w:tc>
          <w:tcPr>
            <w:tcW w:w="833" w:type="dxa"/>
          </w:tcPr>
          <w:p w:rsidR="000A5AC4" w:rsidRDefault="000A5AC4">
            <w:r>
              <w:t>x</w:t>
            </w:r>
          </w:p>
        </w:tc>
        <w:tc>
          <w:tcPr>
            <w:tcW w:w="1230" w:type="dxa"/>
          </w:tcPr>
          <w:p w:rsidR="000A5AC4" w:rsidRDefault="000A5AC4"/>
        </w:tc>
        <w:tc>
          <w:tcPr>
            <w:tcW w:w="1247" w:type="dxa"/>
          </w:tcPr>
          <w:p w:rsidR="000A5AC4" w:rsidRPr="000C33FE" w:rsidRDefault="000A5AC4">
            <w:pPr>
              <w:rPr>
                <w:sz w:val="20"/>
                <w:szCs w:val="20"/>
              </w:rPr>
            </w:pPr>
            <w:r w:rsidRPr="000C33FE">
              <w:rPr>
                <w:sz w:val="20"/>
                <w:szCs w:val="20"/>
              </w:rPr>
              <w:t>Horizont Európa</w:t>
            </w:r>
          </w:p>
          <w:p w:rsidR="000A5AC4" w:rsidRPr="000C33FE" w:rsidRDefault="000A5AC4" w:rsidP="00843FFB">
            <w:pPr>
              <w:rPr>
                <w:sz w:val="20"/>
                <w:szCs w:val="20"/>
              </w:rPr>
            </w:pPr>
          </w:p>
          <w:p w:rsidR="000A5AC4" w:rsidRPr="000C33FE" w:rsidRDefault="000A5AC4" w:rsidP="00843FFB">
            <w:pPr>
              <w:rPr>
                <w:sz w:val="20"/>
                <w:szCs w:val="20"/>
              </w:rPr>
            </w:pPr>
            <w:r w:rsidRPr="000C33FE">
              <w:rPr>
                <w:sz w:val="20"/>
                <w:szCs w:val="20"/>
              </w:rPr>
              <w:t>Erasmus+</w:t>
            </w:r>
          </w:p>
          <w:p w:rsidR="000A5AC4" w:rsidRDefault="000A5AC4" w:rsidP="007F4DF6">
            <w:pPr>
              <w:rPr>
                <w:sz w:val="20"/>
                <w:szCs w:val="20"/>
              </w:rPr>
            </w:pPr>
          </w:p>
          <w:p w:rsidR="000A5AC4" w:rsidRPr="007F4DF6" w:rsidRDefault="000A5AC4">
            <w:pPr>
              <w:rPr>
                <w:sz w:val="20"/>
                <w:szCs w:val="20"/>
              </w:rPr>
            </w:pPr>
            <w:r w:rsidRPr="000C33FE">
              <w:rPr>
                <w:sz w:val="20"/>
                <w:szCs w:val="20"/>
              </w:rPr>
              <w:t>Digitálna Európa</w:t>
            </w:r>
          </w:p>
        </w:tc>
        <w:tc>
          <w:tcPr>
            <w:tcW w:w="1118" w:type="dxa"/>
          </w:tcPr>
          <w:p w:rsidR="000A5AC4" w:rsidRDefault="000A5AC4">
            <w:r>
              <w:t>x</w:t>
            </w:r>
          </w:p>
        </w:tc>
        <w:tc>
          <w:tcPr>
            <w:tcW w:w="955" w:type="dxa"/>
          </w:tcPr>
          <w:p w:rsidR="000A5AC4" w:rsidRDefault="000A5AC4">
            <w:r>
              <w:t>x</w:t>
            </w:r>
          </w:p>
        </w:tc>
        <w:tc>
          <w:tcPr>
            <w:tcW w:w="1088" w:type="dxa"/>
          </w:tcPr>
          <w:p w:rsidR="000A5AC4" w:rsidRDefault="000A5AC4">
            <w:r>
              <w:t>Catching-up</w:t>
            </w:r>
            <w:r w:rsidR="00EF0988">
              <w:t xml:space="preserve"> Regions</w:t>
            </w:r>
          </w:p>
        </w:tc>
        <w:tc>
          <w:tcPr>
            <w:tcW w:w="921" w:type="dxa"/>
          </w:tcPr>
          <w:p w:rsidR="000A5AC4" w:rsidRDefault="000A5AC4">
            <w:r>
              <w:t>x</w:t>
            </w:r>
          </w:p>
        </w:tc>
      </w:tr>
      <w:tr w:rsidR="000A5AC4" w:rsidTr="000A5AC4">
        <w:tc>
          <w:tcPr>
            <w:tcW w:w="3049" w:type="dxa"/>
          </w:tcPr>
          <w:p w:rsidR="000A5AC4" w:rsidRPr="00BA0F34" w:rsidRDefault="000A5AC4" w:rsidP="00BA0F34">
            <w:pPr>
              <w:spacing w:before="60" w:after="60"/>
              <w:rPr>
                <w:rFonts w:cstheme="minorHAnsi"/>
              </w:rPr>
            </w:pPr>
            <w:r w:rsidRPr="00BA0F34">
              <w:rPr>
                <w:rFonts w:cstheme="minorHAnsi"/>
              </w:rPr>
              <w:t>RSO1.2</w:t>
            </w:r>
          </w:p>
          <w:p w:rsidR="000A5AC4" w:rsidRPr="00BA0F34" w:rsidRDefault="000A5AC4" w:rsidP="00BA0F34">
            <w:r w:rsidRPr="00BA0F34">
              <w:rPr>
                <w:rFonts w:cstheme="minorHAnsi"/>
              </w:rPr>
              <w:t>Využívanie prínosov digitalizácie pre občanov, podniky, výskumné organizácie a orgány verejnej správy</w:t>
            </w:r>
          </w:p>
        </w:tc>
        <w:tc>
          <w:tcPr>
            <w:tcW w:w="920" w:type="dxa"/>
          </w:tcPr>
          <w:p w:rsidR="000A5AC4" w:rsidRDefault="000A5AC4">
            <w:r>
              <w:t>x</w:t>
            </w:r>
          </w:p>
        </w:tc>
        <w:tc>
          <w:tcPr>
            <w:tcW w:w="868" w:type="dxa"/>
          </w:tcPr>
          <w:p w:rsidR="000A5AC4" w:rsidRDefault="000A5AC4"/>
        </w:tc>
        <w:tc>
          <w:tcPr>
            <w:tcW w:w="811" w:type="dxa"/>
          </w:tcPr>
          <w:p w:rsidR="000A5AC4" w:rsidRDefault="000A5AC4"/>
        </w:tc>
        <w:tc>
          <w:tcPr>
            <w:tcW w:w="954" w:type="dxa"/>
          </w:tcPr>
          <w:p w:rsidR="000A5AC4" w:rsidRDefault="00A20198">
            <w:r>
              <w:t>x</w:t>
            </w:r>
          </w:p>
        </w:tc>
        <w:tc>
          <w:tcPr>
            <w:tcW w:w="833" w:type="dxa"/>
          </w:tcPr>
          <w:p w:rsidR="000A5AC4" w:rsidRDefault="000A5AC4">
            <w:r>
              <w:t>x</w:t>
            </w:r>
          </w:p>
        </w:tc>
        <w:tc>
          <w:tcPr>
            <w:tcW w:w="1230" w:type="dxa"/>
          </w:tcPr>
          <w:p w:rsidR="000A5AC4" w:rsidRDefault="00350123">
            <w:r>
              <w:t>x</w:t>
            </w:r>
          </w:p>
        </w:tc>
        <w:tc>
          <w:tcPr>
            <w:tcW w:w="1247" w:type="dxa"/>
          </w:tcPr>
          <w:p w:rsidR="000A5AC4" w:rsidRPr="000C33FE" w:rsidRDefault="000A5AC4">
            <w:pPr>
              <w:rPr>
                <w:sz w:val="20"/>
                <w:szCs w:val="20"/>
              </w:rPr>
            </w:pPr>
            <w:r w:rsidRPr="000C33FE">
              <w:rPr>
                <w:sz w:val="20"/>
                <w:szCs w:val="20"/>
              </w:rPr>
              <w:t>Horizont Európa</w:t>
            </w:r>
          </w:p>
          <w:p w:rsidR="000A5AC4" w:rsidRPr="000C33FE" w:rsidRDefault="000A5AC4">
            <w:pPr>
              <w:rPr>
                <w:sz w:val="20"/>
                <w:szCs w:val="20"/>
              </w:rPr>
            </w:pPr>
          </w:p>
          <w:p w:rsidR="000A5AC4" w:rsidRPr="000C33FE" w:rsidRDefault="000A5AC4">
            <w:pPr>
              <w:rPr>
                <w:sz w:val="20"/>
                <w:szCs w:val="20"/>
              </w:rPr>
            </w:pPr>
            <w:r w:rsidRPr="000C33FE">
              <w:rPr>
                <w:sz w:val="20"/>
                <w:szCs w:val="20"/>
              </w:rPr>
              <w:t>Digitálna Európa</w:t>
            </w:r>
          </w:p>
          <w:p w:rsidR="000A5AC4" w:rsidRPr="000C33FE" w:rsidRDefault="000A5AC4">
            <w:pPr>
              <w:rPr>
                <w:sz w:val="20"/>
                <w:szCs w:val="20"/>
              </w:rPr>
            </w:pPr>
          </w:p>
          <w:p w:rsidR="000A5AC4" w:rsidRPr="000C33FE" w:rsidRDefault="000A5AC4">
            <w:pPr>
              <w:rPr>
                <w:sz w:val="20"/>
                <w:szCs w:val="20"/>
              </w:rPr>
            </w:pPr>
            <w:r w:rsidRPr="000C33FE">
              <w:rPr>
                <w:sz w:val="20"/>
                <w:szCs w:val="20"/>
              </w:rPr>
              <w:t>Nástroj na prepájanie Európy</w:t>
            </w:r>
          </w:p>
          <w:p w:rsidR="000A5AC4" w:rsidRDefault="000A5AC4">
            <w:pPr>
              <w:rPr>
                <w:sz w:val="20"/>
                <w:szCs w:val="20"/>
              </w:rPr>
            </w:pPr>
          </w:p>
          <w:p w:rsidR="000A5AC4" w:rsidRDefault="000A5AC4">
            <w:r w:rsidRPr="000C33FE">
              <w:rPr>
                <w:sz w:val="20"/>
                <w:szCs w:val="20"/>
              </w:rPr>
              <w:t>Fond pre vnútornú bezpečnosť</w:t>
            </w:r>
          </w:p>
        </w:tc>
        <w:tc>
          <w:tcPr>
            <w:tcW w:w="1118" w:type="dxa"/>
          </w:tcPr>
          <w:p w:rsidR="000A5AC4" w:rsidRDefault="000A5AC4"/>
        </w:tc>
        <w:tc>
          <w:tcPr>
            <w:tcW w:w="955" w:type="dxa"/>
          </w:tcPr>
          <w:p w:rsidR="000A5AC4" w:rsidRDefault="000A5AC4">
            <w:r>
              <w:t>x</w:t>
            </w:r>
          </w:p>
        </w:tc>
        <w:tc>
          <w:tcPr>
            <w:tcW w:w="1088" w:type="dxa"/>
          </w:tcPr>
          <w:p w:rsidR="000A5AC4" w:rsidRDefault="000A5AC4"/>
        </w:tc>
        <w:tc>
          <w:tcPr>
            <w:tcW w:w="921" w:type="dxa"/>
          </w:tcPr>
          <w:p w:rsidR="000A5AC4" w:rsidRDefault="000A5AC4"/>
        </w:tc>
      </w:tr>
      <w:tr w:rsidR="000A5AC4" w:rsidTr="000A5AC4">
        <w:tc>
          <w:tcPr>
            <w:tcW w:w="3049" w:type="dxa"/>
          </w:tcPr>
          <w:p w:rsidR="000A5AC4" w:rsidRPr="00BA0F34" w:rsidRDefault="000A5AC4" w:rsidP="00BA0F34">
            <w:pPr>
              <w:spacing w:before="60" w:after="60"/>
              <w:rPr>
                <w:rFonts w:cstheme="minorHAnsi"/>
              </w:rPr>
            </w:pPr>
            <w:r w:rsidRPr="00BA0F34">
              <w:rPr>
                <w:rFonts w:cstheme="minorHAnsi"/>
              </w:rPr>
              <w:t>RSO1.3</w:t>
            </w:r>
          </w:p>
          <w:p w:rsidR="000A5AC4" w:rsidRPr="00BA0F34" w:rsidRDefault="000A5AC4" w:rsidP="00BA0F34">
            <w:r w:rsidRPr="00BA0F34">
              <w:rPr>
                <w:rFonts w:cstheme="minorHAnsi"/>
              </w:rPr>
              <w:t xml:space="preserve">Posilnenie udržateľného rastu a konkurencieschopnosti MSP a tvorby pracovných miest v </w:t>
            </w:r>
            <w:r w:rsidRPr="00BA0F34">
              <w:rPr>
                <w:rFonts w:cstheme="minorHAnsi"/>
              </w:rPr>
              <w:lastRenderedPageBreak/>
              <w:t>MSP, a to aj produktívnymi investíciami</w:t>
            </w:r>
          </w:p>
        </w:tc>
        <w:tc>
          <w:tcPr>
            <w:tcW w:w="920" w:type="dxa"/>
          </w:tcPr>
          <w:p w:rsidR="000A5AC4" w:rsidRDefault="000A5AC4">
            <w:r>
              <w:lastRenderedPageBreak/>
              <w:t>x</w:t>
            </w:r>
          </w:p>
        </w:tc>
        <w:tc>
          <w:tcPr>
            <w:tcW w:w="868" w:type="dxa"/>
          </w:tcPr>
          <w:p w:rsidR="000A5AC4" w:rsidRDefault="000A5AC4"/>
        </w:tc>
        <w:tc>
          <w:tcPr>
            <w:tcW w:w="811" w:type="dxa"/>
          </w:tcPr>
          <w:p w:rsidR="000A5AC4" w:rsidRDefault="00100DEF">
            <w:r>
              <w:t>x</w:t>
            </w:r>
          </w:p>
        </w:tc>
        <w:tc>
          <w:tcPr>
            <w:tcW w:w="954" w:type="dxa"/>
          </w:tcPr>
          <w:p w:rsidR="000A5AC4" w:rsidRDefault="000A5AC4"/>
        </w:tc>
        <w:tc>
          <w:tcPr>
            <w:tcW w:w="833" w:type="dxa"/>
          </w:tcPr>
          <w:p w:rsidR="000A5AC4" w:rsidRDefault="000A5AC4">
            <w:r>
              <w:t>x</w:t>
            </w:r>
          </w:p>
        </w:tc>
        <w:tc>
          <w:tcPr>
            <w:tcW w:w="1230" w:type="dxa"/>
          </w:tcPr>
          <w:p w:rsidR="000A5AC4" w:rsidRDefault="00350123">
            <w:r>
              <w:t>x</w:t>
            </w:r>
          </w:p>
        </w:tc>
        <w:tc>
          <w:tcPr>
            <w:tcW w:w="1247" w:type="dxa"/>
          </w:tcPr>
          <w:p w:rsidR="000A5AC4" w:rsidRPr="000C33FE" w:rsidRDefault="000A5AC4">
            <w:pPr>
              <w:rPr>
                <w:sz w:val="20"/>
                <w:szCs w:val="20"/>
              </w:rPr>
            </w:pPr>
            <w:r w:rsidRPr="000C33FE">
              <w:rPr>
                <w:sz w:val="20"/>
                <w:szCs w:val="20"/>
              </w:rPr>
              <w:t>Horizont Európa</w:t>
            </w:r>
          </w:p>
        </w:tc>
        <w:tc>
          <w:tcPr>
            <w:tcW w:w="1118" w:type="dxa"/>
          </w:tcPr>
          <w:p w:rsidR="000A5AC4" w:rsidRDefault="000A5AC4"/>
        </w:tc>
        <w:tc>
          <w:tcPr>
            <w:tcW w:w="955" w:type="dxa"/>
          </w:tcPr>
          <w:p w:rsidR="000A5AC4" w:rsidRDefault="000A5AC4">
            <w:r>
              <w:t>x</w:t>
            </w:r>
          </w:p>
        </w:tc>
        <w:tc>
          <w:tcPr>
            <w:tcW w:w="1088" w:type="dxa"/>
          </w:tcPr>
          <w:p w:rsidR="000A5AC4" w:rsidRDefault="000A5AC4"/>
        </w:tc>
        <w:tc>
          <w:tcPr>
            <w:tcW w:w="921" w:type="dxa"/>
          </w:tcPr>
          <w:p w:rsidR="000A5AC4" w:rsidRDefault="000A5AC4">
            <w:r>
              <w:t>x</w:t>
            </w:r>
          </w:p>
        </w:tc>
      </w:tr>
      <w:tr w:rsidR="000A5AC4" w:rsidTr="000A5AC4">
        <w:tc>
          <w:tcPr>
            <w:tcW w:w="3049" w:type="dxa"/>
          </w:tcPr>
          <w:p w:rsidR="000A5AC4" w:rsidRPr="00BA0F34" w:rsidRDefault="000A5AC4" w:rsidP="00BA0F34">
            <w:pPr>
              <w:spacing w:before="60" w:after="60"/>
              <w:rPr>
                <w:rFonts w:cstheme="minorHAnsi"/>
              </w:rPr>
            </w:pPr>
            <w:r w:rsidRPr="00BA0F34">
              <w:rPr>
                <w:rFonts w:cstheme="minorHAnsi"/>
              </w:rPr>
              <w:t>RSO1.4</w:t>
            </w:r>
          </w:p>
          <w:p w:rsidR="000A5AC4" w:rsidRPr="00BA0F34" w:rsidRDefault="000A5AC4" w:rsidP="00BA0F34">
            <w:r w:rsidRPr="00BA0F34">
              <w:rPr>
                <w:rFonts w:cstheme="minorHAnsi"/>
              </w:rPr>
              <w:t>Rozvoj zručností pre inteligentnú špecializáciu, priemyselnú transformáciu a podnikanie</w:t>
            </w:r>
          </w:p>
        </w:tc>
        <w:tc>
          <w:tcPr>
            <w:tcW w:w="920" w:type="dxa"/>
          </w:tcPr>
          <w:p w:rsidR="000A5AC4" w:rsidRDefault="000A5AC4">
            <w:r>
              <w:t>x</w:t>
            </w:r>
          </w:p>
        </w:tc>
        <w:tc>
          <w:tcPr>
            <w:tcW w:w="868" w:type="dxa"/>
          </w:tcPr>
          <w:p w:rsidR="000A5AC4" w:rsidRDefault="000A5AC4"/>
        </w:tc>
        <w:tc>
          <w:tcPr>
            <w:tcW w:w="811" w:type="dxa"/>
          </w:tcPr>
          <w:p w:rsidR="000A5AC4" w:rsidRDefault="00100DEF">
            <w:r>
              <w:t>x</w:t>
            </w:r>
          </w:p>
        </w:tc>
        <w:tc>
          <w:tcPr>
            <w:tcW w:w="954" w:type="dxa"/>
          </w:tcPr>
          <w:p w:rsidR="000A5AC4" w:rsidRDefault="000A5AC4"/>
        </w:tc>
        <w:tc>
          <w:tcPr>
            <w:tcW w:w="833" w:type="dxa"/>
          </w:tcPr>
          <w:p w:rsidR="000A5AC4" w:rsidRDefault="000A5AC4">
            <w:r>
              <w:t>x</w:t>
            </w:r>
          </w:p>
        </w:tc>
        <w:tc>
          <w:tcPr>
            <w:tcW w:w="1230" w:type="dxa"/>
          </w:tcPr>
          <w:p w:rsidR="000A5AC4" w:rsidRDefault="000A5AC4"/>
        </w:tc>
        <w:tc>
          <w:tcPr>
            <w:tcW w:w="1247" w:type="dxa"/>
          </w:tcPr>
          <w:p w:rsidR="000A5AC4" w:rsidRPr="000C33FE" w:rsidRDefault="000A5AC4">
            <w:pPr>
              <w:rPr>
                <w:sz w:val="20"/>
                <w:szCs w:val="20"/>
              </w:rPr>
            </w:pPr>
            <w:r w:rsidRPr="000C33FE">
              <w:rPr>
                <w:sz w:val="20"/>
                <w:szCs w:val="20"/>
              </w:rPr>
              <w:t>Horizont Európa</w:t>
            </w:r>
          </w:p>
          <w:p w:rsidR="000A5AC4" w:rsidRPr="000C33FE" w:rsidRDefault="000A5AC4">
            <w:pPr>
              <w:rPr>
                <w:sz w:val="20"/>
                <w:szCs w:val="20"/>
              </w:rPr>
            </w:pPr>
          </w:p>
          <w:p w:rsidR="000A5AC4" w:rsidRDefault="000A5AC4">
            <w:pPr>
              <w:rPr>
                <w:sz w:val="20"/>
                <w:szCs w:val="20"/>
              </w:rPr>
            </w:pPr>
            <w:r w:rsidRPr="000C33FE">
              <w:rPr>
                <w:sz w:val="20"/>
                <w:szCs w:val="20"/>
              </w:rPr>
              <w:t>Digitálna Európa</w:t>
            </w:r>
          </w:p>
          <w:p w:rsidR="000A5AC4" w:rsidRDefault="000A5AC4">
            <w:r>
              <w:rPr>
                <w:sz w:val="20"/>
                <w:szCs w:val="20"/>
              </w:rPr>
              <w:t>Erasmus+</w:t>
            </w:r>
          </w:p>
        </w:tc>
        <w:tc>
          <w:tcPr>
            <w:tcW w:w="1118" w:type="dxa"/>
          </w:tcPr>
          <w:p w:rsidR="000A5AC4" w:rsidRDefault="000A5AC4">
            <w:r>
              <w:t>x</w:t>
            </w:r>
          </w:p>
        </w:tc>
        <w:tc>
          <w:tcPr>
            <w:tcW w:w="955" w:type="dxa"/>
          </w:tcPr>
          <w:p w:rsidR="000A5AC4" w:rsidRDefault="000A5AC4">
            <w:r>
              <w:t>x</w:t>
            </w:r>
          </w:p>
        </w:tc>
        <w:tc>
          <w:tcPr>
            <w:tcW w:w="1088" w:type="dxa"/>
          </w:tcPr>
          <w:p w:rsidR="000A5AC4" w:rsidRDefault="000A5AC4">
            <w:r>
              <w:t>Catching-up</w:t>
            </w:r>
            <w:r w:rsidR="00EF0988">
              <w:t xml:space="preserve"> Regions</w:t>
            </w:r>
          </w:p>
        </w:tc>
        <w:tc>
          <w:tcPr>
            <w:tcW w:w="921" w:type="dxa"/>
          </w:tcPr>
          <w:p w:rsidR="000A5AC4" w:rsidRDefault="000A5AC4">
            <w:r>
              <w:t>x</w:t>
            </w:r>
          </w:p>
        </w:tc>
      </w:tr>
      <w:tr w:rsidR="000A5AC4" w:rsidTr="000A5AC4">
        <w:tc>
          <w:tcPr>
            <w:tcW w:w="13073" w:type="dxa"/>
            <w:gridSpan w:val="11"/>
            <w:shd w:val="clear" w:color="auto" w:fill="FBE4D5" w:themeFill="accent2" w:themeFillTint="33"/>
          </w:tcPr>
          <w:p w:rsidR="000A5AC4" w:rsidRDefault="000A5AC4">
            <w:r>
              <w:rPr>
                <w:rFonts w:cstheme="minorHAnsi"/>
                <w:b/>
              </w:rPr>
              <w:t>Priorita</w:t>
            </w:r>
            <w:r w:rsidRPr="00C95F50">
              <w:rPr>
                <w:rFonts w:cstheme="minorHAnsi"/>
                <w:b/>
              </w:rPr>
              <w:t xml:space="preserve"> 2 Digitálna pripojiteľnosť</w:t>
            </w:r>
          </w:p>
        </w:tc>
        <w:tc>
          <w:tcPr>
            <w:tcW w:w="921" w:type="dxa"/>
            <w:shd w:val="clear" w:color="auto" w:fill="FBE4D5" w:themeFill="accent2" w:themeFillTint="33"/>
          </w:tcPr>
          <w:p w:rsidR="000A5AC4" w:rsidRDefault="000A5AC4">
            <w:pPr>
              <w:rPr>
                <w:rFonts w:cstheme="minorHAnsi"/>
                <w:b/>
              </w:rPr>
            </w:pPr>
          </w:p>
        </w:tc>
      </w:tr>
      <w:tr w:rsidR="000A5AC4" w:rsidTr="000A5AC4">
        <w:tc>
          <w:tcPr>
            <w:tcW w:w="3049" w:type="dxa"/>
          </w:tcPr>
          <w:p w:rsidR="000A5AC4" w:rsidRPr="00BA0F34" w:rsidRDefault="000A5AC4" w:rsidP="00BA0F34">
            <w:pPr>
              <w:spacing w:before="60" w:after="60"/>
              <w:rPr>
                <w:rFonts w:cstheme="minorHAnsi"/>
              </w:rPr>
            </w:pPr>
            <w:r w:rsidRPr="00BA0F34">
              <w:rPr>
                <w:rFonts w:cstheme="minorHAnsi"/>
              </w:rPr>
              <w:t>RSO1.5</w:t>
            </w:r>
          </w:p>
          <w:p w:rsidR="000A5AC4" w:rsidRPr="00BA0F34" w:rsidRDefault="000A5AC4" w:rsidP="00BA0F34">
            <w:r w:rsidRPr="00BA0F34">
              <w:rPr>
                <w:rFonts w:cstheme="minorHAnsi"/>
              </w:rPr>
              <w:t>Zvyšovanie digitálnej pripojiteľnosti</w:t>
            </w:r>
          </w:p>
        </w:tc>
        <w:tc>
          <w:tcPr>
            <w:tcW w:w="920" w:type="dxa"/>
          </w:tcPr>
          <w:p w:rsidR="000A5AC4" w:rsidRDefault="000A5AC4">
            <w:r>
              <w:t>x</w:t>
            </w:r>
          </w:p>
        </w:tc>
        <w:tc>
          <w:tcPr>
            <w:tcW w:w="868" w:type="dxa"/>
          </w:tcPr>
          <w:p w:rsidR="000A5AC4" w:rsidRDefault="000A5AC4"/>
        </w:tc>
        <w:tc>
          <w:tcPr>
            <w:tcW w:w="811" w:type="dxa"/>
          </w:tcPr>
          <w:p w:rsidR="000A5AC4" w:rsidRDefault="000A5AC4"/>
        </w:tc>
        <w:tc>
          <w:tcPr>
            <w:tcW w:w="954" w:type="dxa"/>
          </w:tcPr>
          <w:p w:rsidR="000A5AC4" w:rsidRDefault="000A5AC4"/>
        </w:tc>
        <w:tc>
          <w:tcPr>
            <w:tcW w:w="833" w:type="dxa"/>
          </w:tcPr>
          <w:p w:rsidR="000A5AC4" w:rsidRDefault="000A5AC4"/>
        </w:tc>
        <w:tc>
          <w:tcPr>
            <w:tcW w:w="1230" w:type="dxa"/>
          </w:tcPr>
          <w:p w:rsidR="000A5AC4" w:rsidRDefault="000A5AC4"/>
        </w:tc>
        <w:tc>
          <w:tcPr>
            <w:tcW w:w="1247" w:type="dxa"/>
          </w:tcPr>
          <w:p w:rsidR="000A5AC4" w:rsidRPr="007F4DF6" w:rsidRDefault="000A5AC4">
            <w:pPr>
              <w:rPr>
                <w:sz w:val="20"/>
                <w:szCs w:val="20"/>
              </w:rPr>
            </w:pPr>
            <w:r w:rsidRPr="007F4DF6">
              <w:rPr>
                <w:sz w:val="20"/>
                <w:szCs w:val="20"/>
              </w:rPr>
              <w:t>Horizont Európa</w:t>
            </w:r>
          </w:p>
          <w:p w:rsidR="000A5AC4" w:rsidRDefault="000A5AC4">
            <w:pPr>
              <w:rPr>
                <w:sz w:val="20"/>
                <w:szCs w:val="20"/>
              </w:rPr>
            </w:pPr>
            <w:r w:rsidRPr="000C33FE">
              <w:rPr>
                <w:sz w:val="20"/>
                <w:szCs w:val="20"/>
              </w:rPr>
              <w:t>Digitálna Európa</w:t>
            </w:r>
          </w:p>
          <w:p w:rsidR="000A5AC4" w:rsidRPr="000C33FE" w:rsidRDefault="000A5AC4">
            <w:pPr>
              <w:rPr>
                <w:sz w:val="20"/>
                <w:szCs w:val="20"/>
              </w:rPr>
            </w:pPr>
            <w:r w:rsidRPr="007F4DF6">
              <w:rPr>
                <w:sz w:val="20"/>
                <w:szCs w:val="20"/>
              </w:rPr>
              <w:t>Nástroj na prepájanie Európy</w:t>
            </w:r>
          </w:p>
        </w:tc>
        <w:tc>
          <w:tcPr>
            <w:tcW w:w="1118" w:type="dxa"/>
          </w:tcPr>
          <w:p w:rsidR="000A5AC4" w:rsidRDefault="000A5AC4"/>
        </w:tc>
        <w:tc>
          <w:tcPr>
            <w:tcW w:w="955" w:type="dxa"/>
          </w:tcPr>
          <w:p w:rsidR="000A5AC4" w:rsidRDefault="000A5AC4"/>
        </w:tc>
        <w:tc>
          <w:tcPr>
            <w:tcW w:w="1088" w:type="dxa"/>
          </w:tcPr>
          <w:p w:rsidR="000A5AC4" w:rsidRDefault="000A5AC4"/>
        </w:tc>
        <w:tc>
          <w:tcPr>
            <w:tcW w:w="921" w:type="dxa"/>
          </w:tcPr>
          <w:p w:rsidR="000A5AC4" w:rsidRDefault="000A5AC4"/>
        </w:tc>
      </w:tr>
      <w:tr w:rsidR="000A5AC4" w:rsidTr="000A5AC4">
        <w:tc>
          <w:tcPr>
            <w:tcW w:w="3049" w:type="dxa"/>
            <w:shd w:val="clear" w:color="auto" w:fill="C45911" w:themeFill="accent2" w:themeFillShade="BF"/>
          </w:tcPr>
          <w:p w:rsidR="000A5AC4" w:rsidRPr="007201CD" w:rsidRDefault="000A5AC4" w:rsidP="00844E27">
            <w:pPr>
              <w:rPr>
                <w:b/>
                <w:color w:val="FFFFFF" w:themeColor="background1"/>
              </w:rPr>
            </w:pPr>
            <w:r w:rsidRPr="007201CD">
              <w:rPr>
                <w:b/>
                <w:color w:val="FFFFFF" w:themeColor="background1"/>
              </w:rPr>
              <w:t xml:space="preserve">                                    Fond/nástroj</w:t>
            </w:r>
          </w:p>
          <w:p w:rsidR="000A5AC4" w:rsidRPr="007201CD" w:rsidRDefault="000A5AC4" w:rsidP="00844E27">
            <w:pPr>
              <w:rPr>
                <w:color w:val="FFFFFF" w:themeColor="background1"/>
              </w:rPr>
            </w:pPr>
          </w:p>
          <w:p w:rsidR="000A5AC4" w:rsidRPr="007201CD" w:rsidRDefault="000A5AC4" w:rsidP="00844E27">
            <w:pPr>
              <w:rPr>
                <w:b/>
                <w:color w:val="FFFFFF" w:themeColor="background1"/>
              </w:rPr>
            </w:pPr>
            <w:r w:rsidRPr="007201CD">
              <w:rPr>
                <w:b/>
                <w:color w:val="FFFFFF" w:themeColor="background1"/>
              </w:rPr>
              <w:t>Programu</w:t>
            </w:r>
          </w:p>
          <w:p w:rsidR="000A5AC4" w:rsidRPr="007201CD" w:rsidRDefault="000A5AC4" w:rsidP="00844E27">
            <w:pPr>
              <w:spacing w:before="60" w:after="60"/>
              <w:rPr>
                <w:rFonts w:cstheme="minorHAnsi"/>
                <w:color w:val="FFFFFF" w:themeColor="background1"/>
              </w:rPr>
            </w:pPr>
            <w:r w:rsidRPr="007201CD">
              <w:rPr>
                <w:b/>
                <w:color w:val="FFFFFF" w:themeColor="background1"/>
              </w:rPr>
              <w:t>Slovensko</w:t>
            </w:r>
          </w:p>
        </w:tc>
        <w:tc>
          <w:tcPr>
            <w:tcW w:w="920" w:type="dxa"/>
            <w:shd w:val="clear" w:color="auto" w:fill="C45911" w:themeFill="accent2" w:themeFillShade="BF"/>
          </w:tcPr>
          <w:p w:rsidR="000A5AC4" w:rsidRPr="007201CD" w:rsidRDefault="000A5AC4" w:rsidP="005C70E8">
            <w:pPr>
              <w:rPr>
                <w:color w:val="FFFFFF" w:themeColor="background1"/>
              </w:rPr>
            </w:pPr>
            <w:r w:rsidRPr="007201CD">
              <w:rPr>
                <w:b/>
                <w:color w:val="FFFFFF" w:themeColor="background1"/>
              </w:rPr>
              <w:t>EFRR</w:t>
            </w:r>
          </w:p>
        </w:tc>
        <w:tc>
          <w:tcPr>
            <w:tcW w:w="868" w:type="dxa"/>
            <w:shd w:val="clear" w:color="auto" w:fill="C45911" w:themeFill="accent2" w:themeFillShade="BF"/>
          </w:tcPr>
          <w:p w:rsidR="000A5AC4" w:rsidRPr="007201CD" w:rsidRDefault="000A5AC4" w:rsidP="005C70E8">
            <w:pPr>
              <w:rPr>
                <w:color w:val="FFFFFF" w:themeColor="background1"/>
              </w:rPr>
            </w:pPr>
            <w:r w:rsidRPr="007201CD">
              <w:rPr>
                <w:b/>
                <w:color w:val="FFFFFF" w:themeColor="background1"/>
              </w:rPr>
              <w:t>ESF+</w:t>
            </w:r>
          </w:p>
        </w:tc>
        <w:tc>
          <w:tcPr>
            <w:tcW w:w="811" w:type="dxa"/>
            <w:shd w:val="clear" w:color="auto" w:fill="C45911" w:themeFill="accent2" w:themeFillShade="BF"/>
          </w:tcPr>
          <w:p w:rsidR="000A5AC4" w:rsidRPr="007201CD" w:rsidRDefault="000A5AC4" w:rsidP="005C70E8">
            <w:pPr>
              <w:rPr>
                <w:color w:val="FFFFFF" w:themeColor="background1"/>
              </w:rPr>
            </w:pPr>
            <w:r w:rsidRPr="007201CD">
              <w:rPr>
                <w:b/>
                <w:color w:val="FFFFFF" w:themeColor="background1"/>
              </w:rPr>
              <w:t>FST</w:t>
            </w:r>
          </w:p>
        </w:tc>
        <w:tc>
          <w:tcPr>
            <w:tcW w:w="954" w:type="dxa"/>
            <w:shd w:val="clear" w:color="auto" w:fill="C45911" w:themeFill="accent2" w:themeFillShade="BF"/>
          </w:tcPr>
          <w:p w:rsidR="000A5AC4" w:rsidRPr="007201CD" w:rsidRDefault="000A5AC4" w:rsidP="005C70E8">
            <w:pPr>
              <w:rPr>
                <w:color w:val="FFFFFF" w:themeColor="background1"/>
              </w:rPr>
            </w:pPr>
            <w:r w:rsidRPr="007201CD">
              <w:rPr>
                <w:b/>
                <w:color w:val="FFFFFF" w:themeColor="background1"/>
              </w:rPr>
              <w:t>EPFRV</w:t>
            </w:r>
          </w:p>
        </w:tc>
        <w:tc>
          <w:tcPr>
            <w:tcW w:w="833" w:type="dxa"/>
            <w:shd w:val="clear" w:color="auto" w:fill="C45911" w:themeFill="accent2" w:themeFillShade="BF"/>
          </w:tcPr>
          <w:p w:rsidR="000A5AC4" w:rsidRPr="007201CD" w:rsidRDefault="000A5AC4" w:rsidP="005C70E8">
            <w:pPr>
              <w:rPr>
                <w:color w:val="FFFFFF" w:themeColor="background1"/>
              </w:rPr>
            </w:pPr>
            <w:r w:rsidRPr="007201CD">
              <w:rPr>
                <w:b/>
                <w:color w:val="FFFFFF" w:themeColor="background1"/>
              </w:rPr>
              <w:t>POO</w:t>
            </w:r>
          </w:p>
        </w:tc>
        <w:tc>
          <w:tcPr>
            <w:tcW w:w="1230" w:type="dxa"/>
            <w:shd w:val="clear" w:color="auto" w:fill="C45911" w:themeFill="accent2" w:themeFillShade="BF"/>
          </w:tcPr>
          <w:p w:rsidR="000A5AC4" w:rsidRPr="007201CD" w:rsidRDefault="00350123" w:rsidP="00350123">
            <w:pPr>
              <w:jc w:val="center"/>
              <w:rPr>
                <w:color w:val="FFFFFF" w:themeColor="background1"/>
              </w:rPr>
            </w:pPr>
            <w:r w:rsidRPr="007201CD">
              <w:rPr>
                <w:b/>
                <w:color w:val="FFFFFF" w:themeColor="background1"/>
              </w:rPr>
              <w:t>ENRAF</w:t>
            </w:r>
          </w:p>
        </w:tc>
        <w:tc>
          <w:tcPr>
            <w:tcW w:w="1247" w:type="dxa"/>
            <w:shd w:val="clear" w:color="auto" w:fill="C45911" w:themeFill="accent2" w:themeFillShade="BF"/>
          </w:tcPr>
          <w:p w:rsidR="000A5AC4" w:rsidRPr="007201CD" w:rsidRDefault="000A5AC4" w:rsidP="005C70E8">
            <w:pPr>
              <w:rPr>
                <w:color w:val="FFFFFF" w:themeColor="background1"/>
                <w:sz w:val="20"/>
                <w:szCs w:val="20"/>
              </w:rPr>
            </w:pPr>
            <w:r w:rsidRPr="007201CD">
              <w:rPr>
                <w:b/>
                <w:color w:val="FFFFFF" w:themeColor="background1"/>
              </w:rPr>
              <w:t>Ďalšie programy a nástroje EÚ</w:t>
            </w:r>
          </w:p>
        </w:tc>
        <w:tc>
          <w:tcPr>
            <w:tcW w:w="1118" w:type="dxa"/>
            <w:shd w:val="clear" w:color="auto" w:fill="C45911" w:themeFill="accent2" w:themeFillShade="BF"/>
          </w:tcPr>
          <w:p w:rsidR="000A5AC4" w:rsidRPr="007201CD" w:rsidRDefault="000A5AC4" w:rsidP="005C70E8">
            <w:pPr>
              <w:rPr>
                <w:color w:val="FFFFFF" w:themeColor="background1"/>
              </w:rPr>
            </w:pPr>
            <w:r w:rsidRPr="007201CD">
              <w:rPr>
                <w:b/>
                <w:color w:val="FFFFFF" w:themeColor="background1"/>
              </w:rPr>
              <w:t>Programy Interreg</w:t>
            </w:r>
          </w:p>
        </w:tc>
        <w:tc>
          <w:tcPr>
            <w:tcW w:w="955" w:type="dxa"/>
            <w:shd w:val="clear" w:color="auto" w:fill="C45911" w:themeFill="accent2" w:themeFillShade="BF"/>
          </w:tcPr>
          <w:p w:rsidR="000A5AC4" w:rsidRPr="007201CD" w:rsidRDefault="000A5AC4" w:rsidP="005C70E8">
            <w:pPr>
              <w:rPr>
                <w:b/>
                <w:color w:val="FFFFFF" w:themeColor="background1"/>
              </w:rPr>
            </w:pPr>
            <w:r w:rsidRPr="007201CD">
              <w:rPr>
                <w:b/>
                <w:color w:val="FFFFFF" w:themeColor="background1"/>
              </w:rPr>
              <w:t>EUSRD</w:t>
            </w:r>
          </w:p>
        </w:tc>
        <w:tc>
          <w:tcPr>
            <w:tcW w:w="1088" w:type="dxa"/>
            <w:shd w:val="clear" w:color="auto" w:fill="C45911" w:themeFill="accent2" w:themeFillShade="BF"/>
          </w:tcPr>
          <w:p w:rsidR="000A5AC4" w:rsidRPr="007201CD" w:rsidRDefault="000A5AC4" w:rsidP="005C70E8">
            <w:pPr>
              <w:rPr>
                <w:b/>
                <w:color w:val="FFFFFF" w:themeColor="background1"/>
              </w:rPr>
            </w:pPr>
            <w:r w:rsidRPr="007201CD">
              <w:rPr>
                <w:b/>
                <w:color w:val="FFFFFF" w:themeColor="background1"/>
              </w:rPr>
              <w:t>Iniciatívy EK</w:t>
            </w:r>
          </w:p>
        </w:tc>
        <w:tc>
          <w:tcPr>
            <w:tcW w:w="921" w:type="dxa"/>
            <w:shd w:val="clear" w:color="auto" w:fill="C45911" w:themeFill="accent2" w:themeFillShade="BF"/>
          </w:tcPr>
          <w:p w:rsidR="000A5AC4" w:rsidRPr="007201CD" w:rsidRDefault="000A5AC4" w:rsidP="005C70E8">
            <w:pPr>
              <w:rPr>
                <w:b/>
                <w:color w:val="FFFFFF" w:themeColor="background1"/>
              </w:rPr>
            </w:pPr>
          </w:p>
        </w:tc>
      </w:tr>
      <w:tr w:rsidR="000A5AC4" w:rsidTr="000A5AC4">
        <w:tc>
          <w:tcPr>
            <w:tcW w:w="13073" w:type="dxa"/>
            <w:gridSpan w:val="11"/>
            <w:shd w:val="clear" w:color="auto" w:fill="F4B083" w:themeFill="accent2" w:themeFillTint="99"/>
          </w:tcPr>
          <w:p w:rsidR="000A5AC4" w:rsidRPr="005E70C3" w:rsidRDefault="000A5AC4" w:rsidP="005C70E8">
            <w:pPr>
              <w:spacing w:before="60" w:after="60"/>
              <w:rPr>
                <w:rFonts w:cstheme="minorHAnsi"/>
                <w:b/>
              </w:rPr>
            </w:pPr>
            <w:r w:rsidRPr="00BA0F34">
              <w:rPr>
                <w:rFonts w:cstheme="minorHAnsi"/>
                <w:b/>
              </w:rPr>
              <w:t>C</w:t>
            </w:r>
            <w:r>
              <w:rPr>
                <w:rFonts w:cstheme="minorHAnsi"/>
                <w:b/>
              </w:rPr>
              <w:t xml:space="preserve">ieľ politiky </w:t>
            </w:r>
            <w:r w:rsidRPr="00BA0F34">
              <w:rPr>
                <w:rFonts w:cstheme="minorHAnsi"/>
                <w:b/>
              </w:rPr>
              <w:t>2</w:t>
            </w:r>
            <w:r>
              <w:rPr>
                <w:rFonts w:cstheme="minorHAnsi"/>
                <w:b/>
              </w:rPr>
              <w:t xml:space="preserve"> Zelenšia, nízkouhlíková Európa</w:t>
            </w:r>
          </w:p>
        </w:tc>
        <w:tc>
          <w:tcPr>
            <w:tcW w:w="921" w:type="dxa"/>
            <w:shd w:val="clear" w:color="auto" w:fill="F4B083" w:themeFill="accent2" w:themeFillTint="99"/>
          </w:tcPr>
          <w:p w:rsidR="000A5AC4" w:rsidRPr="00BA0F34" w:rsidRDefault="000A5AC4" w:rsidP="005C70E8">
            <w:pPr>
              <w:spacing w:before="60" w:after="60"/>
              <w:rPr>
                <w:rFonts w:cstheme="minorHAnsi"/>
                <w:b/>
              </w:rPr>
            </w:pPr>
          </w:p>
        </w:tc>
      </w:tr>
      <w:tr w:rsidR="000A5AC4" w:rsidTr="000A5AC4">
        <w:tc>
          <w:tcPr>
            <w:tcW w:w="13073" w:type="dxa"/>
            <w:gridSpan w:val="11"/>
            <w:shd w:val="clear" w:color="auto" w:fill="FBE4D5" w:themeFill="accent2" w:themeFillTint="33"/>
          </w:tcPr>
          <w:p w:rsidR="000A5AC4" w:rsidRDefault="000A5AC4" w:rsidP="005C70E8">
            <w:r>
              <w:rPr>
                <w:rFonts w:cstheme="minorHAnsi"/>
                <w:b/>
              </w:rPr>
              <w:t>Priorita 1 Energetická efektívnosť a dekarbonizácia</w:t>
            </w:r>
          </w:p>
        </w:tc>
        <w:tc>
          <w:tcPr>
            <w:tcW w:w="921" w:type="dxa"/>
            <w:shd w:val="clear" w:color="auto" w:fill="FBE4D5" w:themeFill="accent2" w:themeFillTint="33"/>
          </w:tcPr>
          <w:p w:rsidR="000A5AC4" w:rsidRDefault="000A5AC4" w:rsidP="005C70E8">
            <w:pPr>
              <w:rPr>
                <w:rFonts w:cstheme="minorHAnsi"/>
                <w:b/>
              </w:rPr>
            </w:pPr>
          </w:p>
        </w:tc>
      </w:tr>
      <w:tr w:rsidR="000A5AC4" w:rsidTr="000A5AC4">
        <w:tc>
          <w:tcPr>
            <w:tcW w:w="3049" w:type="dxa"/>
          </w:tcPr>
          <w:p w:rsidR="000A5AC4" w:rsidRPr="00BA0F34" w:rsidRDefault="000A5AC4" w:rsidP="005C70E8">
            <w:pPr>
              <w:spacing w:before="60" w:after="60"/>
              <w:rPr>
                <w:rFonts w:cstheme="minorHAnsi"/>
              </w:rPr>
            </w:pPr>
            <w:r w:rsidRPr="00BA0F34">
              <w:rPr>
                <w:rFonts w:cstheme="minorHAnsi"/>
              </w:rPr>
              <w:t>RSO2.1</w:t>
            </w:r>
          </w:p>
          <w:p w:rsidR="000A5AC4" w:rsidRPr="00BA0F34" w:rsidRDefault="000A5AC4" w:rsidP="005C70E8">
            <w:r w:rsidRPr="00BA0F34">
              <w:rPr>
                <w:rFonts w:cstheme="minorHAnsi"/>
              </w:rPr>
              <w:t>Podpora energetickej efektívnosti a znižovania emisií skleníkových plynov</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100DEF" w:rsidP="005C70E8">
            <w:r>
              <w:t>x</w:t>
            </w:r>
          </w:p>
        </w:tc>
        <w:tc>
          <w:tcPr>
            <w:tcW w:w="954" w:type="dxa"/>
          </w:tcPr>
          <w:p w:rsidR="000A5AC4" w:rsidRDefault="000A5AC4" w:rsidP="005C70E8">
            <w:r>
              <w:t>x</w:t>
            </w:r>
          </w:p>
        </w:tc>
        <w:tc>
          <w:tcPr>
            <w:tcW w:w="833" w:type="dxa"/>
          </w:tcPr>
          <w:p w:rsidR="000A5AC4" w:rsidRDefault="000A5AC4" w:rsidP="005C70E8">
            <w:r>
              <w:t>x</w:t>
            </w:r>
          </w:p>
        </w:tc>
        <w:tc>
          <w:tcPr>
            <w:tcW w:w="1230" w:type="dxa"/>
          </w:tcPr>
          <w:p w:rsidR="000A5AC4" w:rsidRDefault="00350123" w:rsidP="005C70E8">
            <w:r>
              <w:t>x</w:t>
            </w:r>
          </w:p>
        </w:tc>
        <w:tc>
          <w:tcPr>
            <w:tcW w:w="1247" w:type="dxa"/>
          </w:tcPr>
          <w:p w:rsidR="000A5AC4" w:rsidRDefault="000A5AC4" w:rsidP="005C70E8">
            <w:pPr>
              <w:rPr>
                <w:sz w:val="20"/>
                <w:szCs w:val="20"/>
              </w:rPr>
            </w:pPr>
            <w:r w:rsidRPr="000C33FE">
              <w:rPr>
                <w:sz w:val="20"/>
                <w:szCs w:val="20"/>
              </w:rPr>
              <w:t>LIFE</w:t>
            </w:r>
          </w:p>
          <w:p w:rsidR="00556158" w:rsidRPr="000C33FE" w:rsidRDefault="00556158" w:rsidP="005C70E8">
            <w:pPr>
              <w:rPr>
                <w:sz w:val="20"/>
                <w:szCs w:val="20"/>
              </w:rPr>
            </w:pPr>
            <w:r>
              <w:rPr>
                <w:sz w:val="20"/>
                <w:szCs w:val="20"/>
              </w:rPr>
              <w:t>MODFOND</w:t>
            </w:r>
          </w:p>
        </w:tc>
        <w:tc>
          <w:tcPr>
            <w:tcW w:w="1118" w:type="dxa"/>
          </w:tcPr>
          <w:p w:rsidR="000A5AC4" w:rsidRDefault="000A5AC4" w:rsidP="005C70E8">
            <w:r>
              <w:t>x</w:t>
            </w:r>
          </w:p>
        </w:tc>
        <w:tc>
          <w:tcPr>
            <w:tcW w:w="955" w:type="dxa"/>
          </w:tcPr>
          <w:p w:rsidR="000A5AC4" w:rsidRDefault="000A5AC4" w:rsidP="005C70E8">
            <w:r>
              <w:t>x</w:t>
            </w:r>
          </w:p>
        </w:tc>
        <w:tc>
          <w:tcPr>
            <w:tcW w:w="1088" w:type="dxa"/>
          </w:tcPr>
          <w:p w:rsidR="000A5AC4" w:rsidRDefault="000A5AC4" w:rsidP="005C70E8"/>
        </w:tc>
        <w:tc>
          <w:tcPr>
            <w:tcW w:w="921" w:type="dxa"/>
          </w:tcPr>
          <w:p w:rsidR="000A5AC4" w:rsidRDefault="000A5AC4" w:rsidP="005C70E8"/>
        </w:tc>
      </w:tr>
      <w:tr w:rsidR="000A5AC4" w:rsidTr="000A5AC4">
        <w:tc>
          <w:tcPr>
            <w:tcW w:w="3049" w:type="dxa"/>
          </w:tcPr>
          <w:p w:rsidR="000A5AC4" w:rsidRPr="00BA0F34" w:rsidRDefault="000A5AC4" w:rsidP="005C70E8">
            <w:pPr>
              <w:spacing w:before="60" w:after="60"/>
              <w:rPr>
                <w:rFonts w:cstheme="minorHAnsi"/>
              </w:rPr>
            </w:pPr>
            <w:r w:rsidRPr="00BA0F34">
              <w:rPr>
                <w:rFonts w:cstheme="minorHAnsi"/>
              </w:rPr>
              <w:t>RSO2.2</w:t>
            </w:r>
          </w:p>
          <w:p w:rsidR="000A5AC4" w:rsidRPr="00BA0F34" w:rsidRDefault="000A5AC4" w:rsidP="005C70E8">
            <w:r w:rsidRPr="00BA0F34">
              <w:rPr>
                <w:rFonts w:cstheme="minorHAnsi"/>
              </w:rPr>
              <w:t xml:space="preserve">Podpora energie z obnoviteľných zdrojov v súlade so smernicou (EÚ) 2018/2001 </w:t>
            </w:r>
            <w:r w:rsidRPr="00BA0F34">
              <w:rPr>
                <w:rFonts w:cstheme="minorHAnsi"/>
              </w:rPr>
              <w:lastRenderedPageBreak/>
              <w:t>vrátane kritérií udržateľnosti, ktoré sú v nej stanovené</w:t>
            </w:r>
          </w:p>
        </w:tc>
        <w:tc>
          <w:tcPr>
            <w:tcW w:w="920" w:type="dxa"/>
          </w:tcPr>
          <w:p w:rsidR="000A5AC4" w:rsidRDefault="000A5AC4" w:rsidP="005C70E8">
            <w:r>
              <w:lastRenderedPageBreak/>
              <w:t>x</w:t>
            </w:r>
          </w:p>
        </w:tc>
        <w:tc>
          <w:tcPr>
            <w:tcW w:w="868" w:type="dxa"/>
          </w:tcPr>
          <w:p w:rsidR="000A5AC4" w:rsidRDefault="000A5AC4" w:rsidP="005C70E8"/>
        </w:tc>
        <w:tc>
          <w:tcPr>
            <w:tcW w:w="811" w:type="dxa"/>
          </w:tcPr>
          <w:p w:rsidR="000A5AC4" w:rsidRDefault="00100DEF" w:rsidP="005C70E8">
            <w:r>
              <w:t>x</w:t>
            </w:r>
          </w:p>
        </w:tc>
        <w:tc>
          <w:tcPr>
            <w:tcW w:w="954" w:type="dxa"/>
          </w:tcPr>
          <w:p w:rsidR="000A5AC4" w:rsidRDefault="000A5AC4" w:rsidP="005C70E8">
            <w:r>
              <w:t>x</w:t>
            </w:r>
          </w:p>
        </w:tc>
        <w:tc>
          <w:tcPr>
            <w:tcW w:w="833" w:type="dxa"/>
          </w:tcPr>
          <w:p w:rsidR="000A5AC4" w:rsidRDefault="000A5AC4" w:rsidP="005C70E8">
            <w:r>
              <w:t>x</w:t>
            </w:r>
          </w:p>
        </w:tc>
        <w:tc>
          <w:tcPr>
            <w:tcW w:w="1230" w:type="dxa"/>
          </w:tcPr>
          <w:p w:rsidR="000A5AC4" w:rsidRDefault="000A5AC4" w:rsidP="005C70E8"/>
        </w:tc>
        <w:tc>
          <w:tcPr>
            <w:tcW w:w="1247" w:type="dxa"/>
          </w:tcPr>
          <w:p w:rsidR="000A5AC4" w:rsidRDefault="000A5AC4" w:rsidP="005C70E8">
            <w:pPr>
              <w:rPr>
                <w:sz w:val="20"/>
                <w:szCs w:val="20"/>
              </w:rPr>
            </w:pPr>
            <w:r w:rsidRPr="000C33FE">
              <w:rPr>
                <w:sz w:val="20"/>
                <w:szCs w:val="20"/>
              </w:rPr>
              <w:t>LIFE</w:t>
            </w:r>
          </w:p>
          <w:p w:rsidR="000A5AC4" w:rsidRPr="007F4DF6" w:rsidRDefault="000A5AC4" w:rsidP="005C70E8">
            <w:pPr>
              <w:rPr>
                <w:sz w:val="20"/>
                <w:szCs w:val="20"/>
              </w:rPr>
            </w:pPr>
            <w:r w:rsidRPr="007F4DF6">
              <w:rPr>
                <w:sz w:val="20"/>
                <w:szCs w:val="20"/>
              </w:rPr>
              <w:t>Horizont Európa</w:t>
            </w:r>
          </w:p>
          <w:p w:rsidR="000A5AC4" w:rsidRDefault="000A5AC4" w:rsidP="005C70E8">
            <w:pPr>
              <w:rPr>
                <w:sz w:val="20"/>
                <w:szCs w:val="20"/>
              </w:rPr>
            </w:pPr>
            <w:r>
              <w:rPr>
                <w:sz w:val="20"/>
                <w:szCs w:val="20"/>
              </w:rPr>
              <w:t>Erasmus+</w:t>
            </w:r>
          </w:p>
          <w:p w:rsidR="00556158" w:rsidRPr="000C33FE" w:rsidRDefault="00556158" w:rsidP="005C70E8">
            <w:pPr>
              <w:rPr>
                <w:sz w:val="20"/>
                <w:szCs w:val="20"/>
              </w:rPr>
            </w:pPr>
            <w:r>
              <w:rPr>
                <w:sz w:val="20"/>
                <w:szCs w:val="20"/>
              </w:rPr>
              <w:t>MODFOND</w:t>
            </w:r>
          </w:p>
        </w:tc>
        <w:tc>
          <w:tcPr>
            <w:tcW w:w="1118" w:type="dxa"/>
          </w:tcPr>
          <w:p w:rsidR="000A5AC4" w:rsidRDefault="000A5AC4" w:rsidP="005C70E8">
            <w:r>
              <w:t>x</w:t>
            </w:r>
          </w:p>
        </w:tc>
        <w:tc>
          <w:tcPr>
            <w:tcW w:w="955" w:type="dxa"/>
          </w:tcPr>
          <w:p w:rsidR="000A5AC4" w:rsidRDefault="000A5AC4" w:rsidP="005C70E8">
            <w:r>
              <w:t>x</w:t>
            </w:r>
          </w:p>
        </w:tc>
        <w:tc>
          <w:tcPr>
            <w:tcW w:w="1088" w:type="dxa"/>
          </w:tcPr>
          <w:p w:rsidR="000A5AC4" w:rsidRDefault="000A5AC4" w:rsidP="005C70E8"/>
        </w:tc>
        <w:tc>
          <w:tcPr>
            <w:tcW w:w="921" w:type="dxa"/>
          </w:tcPr>
          <w:p w:rsidR="000A5AC4" w:rsidRDefault="000A5AC4" w:rsidP="005C70E8"/>
        </w:tc>
      </w:tr>
      <w:tr w:rsidR="000A5AC4" w:rsidTr="000A5AC4">
        <w:tc>
          <w:tcPr>
            <w:tcW w:w="3049" w:type="dxa"/>
          </w:tcPr>
          <w:p w:rsidR="000A5AC4" w:rsidRPr="00BA0F34" w:rsidRDefault="000A5AC4" w:rsidP="005C70E8">
            <w:pPr>
              <w:spacing w:before="60" w:after="60"/>
              <w:rPr>
                <w:rFonts w:cstheme="minorHAnsi"/>
              </w:rPr>
            </w:pPr>
            <w:r w:rsidRPr="00BA0F34">
              <w:rPr>
                <w:rFonts w:cstheme="minorHAnsi"/>
              </w:rPr>
              <w:t>RSO2.3</w:t>
            </w:r>
          </w:p>
          <w:p w:rsidR="000A5AC4" w:rsidRPr="00BA0F34" w:rsidRDefault="000A5AC4" w:rsidP="005C70E8">
            <w:r w:rsidRPr="00BA0F34">
              <w:rPr>
                <w:rFonts w:cstheme="minorHAnsi"/>
              </w:rPr>
              <w:t>Vývoj inteligentných energetických systémov, sietí a uskladnenia mimo transeurópskej energetickej siete (TEN-E)</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0A5AC4" w:rsidP="005C70E8"/>
        </w:tc>
        <w:tc>
          <w:tcPr>
            <w:tcW w:w="954" w:type="dxa"/>
          </w:tcPr>
          <w:p w:rsidR="000A5AC4" w:rsidRDefault="00100DEF" w:rsidP="005C70E8">
            <w:r>
              <w:t>x</w:t>
            </w:r>
          </w:p>
        </w:tc>
        <w:tc>
          <w:tcPr>
            <w:tcW w:w="833" w:type="dxa"/>
          </w:tcPr>
          <w:p w:rsidR="000A5AC4" w:rsidRDefault="000A5AC4" w:rsidP="005C70E8">
            <w:r>
              <w:t>x</w:t>
            </w:r>
          </w:p>
        </w:tc>
        <w:tc>
          <w:tcPr>
            <w:tcW w:w="1230" w:type="dxa"/>
          </w:tcPr>
          <w:p w:rsidR="000A5AC4" w:rsidRDefault="000A5AC4" w:rsidP="005C70E8"/>
        </w:tc>
        <w:tc>
          <w:tcPr>
            <w:tcW w:w="1247" w:type="dxa"/>
          </w:tcPr>
          <w:p w:rsidR="000A5AC4" w:rsidRDefault="000A5AC4" w:rsidP="005C70E8">
            <w:pPr>
              <w:rPr>
                <w:sz w:val="20"/>
                <w:szCs w:val="20"/>
              </w:rPr>
            </w:pPr>
            <w:r w:rsidRPr="000C33FE">
              <w:rPr>
                <w:sz w:val="20"/>
                <w:szCs w:val="20"/>
              </w:rPr>
              <w:t>LIFE</w:t>
            </w:r>
          </w:p>
          <w:p w:rsidR="000A5AC4" w:rsidRDefault="000A5AC4" w:rsidP="005C70E8">
            <w:pPr>
              <w:rPr>
                <w:sz w:val="20"/>
                <w:szCs w:val="20"/>
              </w:rPr>
            </w:pPr>
          </w:p>
          <w:p w:rsidR="000A5AC4" w:rsidRPr="000C33FE" w:rsidRDefault="000A5AC4" w:rsidP="005C70E8">
            <w:pPr>
              <w:rPr>
                <w:sz w:val="20"/>
                <w:szCs w:val="20"/>
              </w:rPr>
            </w:pPr>
            <w:r w:rsidRPr="007F4DF6">
              <w:rPr>
                <w:sz w:val="20"/>
                <w:szCs w:val="20"/>
              </w:rPr>
              <w:t>Nástroj na prepájanie Európy</w:t>
            </w:r>
          </w:p>
        </w:tc>
        <w:tc>
          <w:tcPr>
            <w:tcW w:w="1118" w:type="dxa"/>
          </w:tcPr>
          <w:p w:rsidR="000A5AC4" w:rsidRDefault="000A5AC4" w:rsidP="005C70E8">
            <w:r>
              <w:t>x</w:t>
            </w:r>
          </w:p>
        </w:tc>
        <w:tc>
          <w:tcPr>
            <w:tcW w:w="955" w:type="dxa"/>
          </w:tcPr>
          <w:p w:rsidR="000A5AC4" w:rsidRDefault="000A5AC4" w:rsidP="005C70E8">
            <w:r>
              <w:t>x</w:t>
            </w:r>
          </w:p>
        </w:tc>
        <w:tc>
          <w:tcPr>
            <w:tcW w:w="1088" w:type="dxa"/>
          </w:tcPr>
          <w:p w:rsidR="000A5AC4" w:rsidRDefault="000A5AC4" w:rsidP="005C70E8"/>
        </w:tc>
        <w:tc>
          <w:tcPr>
            <w:tcW w:w="921" w:type="dxa"/>
          </w:tcPr>
          <w:p w:rsidR="000A5AC4" w:rsidRDefault="000A5AC4" w:rsidP="005C70E8"/>
        </w:tc>
      </w:tr>
      <w:tr w:rsidR="000A5AC4" w:rsidTr="000A5AC4">
        <w:trPr>
          <w:trHeight w:val="70"/>
        </w:trPr>
        <w:tc>
          <w:tcPr>
            <w:tcW w:w="13073" w:type="dxa"/>
            <w:gridSpan w:val="11"/>
            <w:shd w:val="clear" w:color="auto" w:fill="FBE4D5" w:themeFill="accent2" w:themeFillTint="33"/>
          </w:tcPr>
          <w:p w:rsidR="000A5AC4" w:rsidRDefault="000A5AC4" w:rsidP="005C70E8">
            <w:r>
              <w:rPr>
                <w:rFonts w:cstheme="minorHAnsi"/>
                <w:b/>
              </w:rPr>
              <w:t>Priorita</w:t>
            </w:r>
            <w:r w:rsidRPr="00C95F50">
              <w:rPr>
                <w:rFonts w:cstheme="minorHAnsi"/>
                <w:b/>
              </w:rPr>
              <w:t xml:space="preserve"> 2 Životné prostredie</w:t>
            </w:r>
          </w:p>
        </w:tc>
        <w:tc>
          <w:tcPr>
            <w:tcW w:w="921" w:type="dxa"/>
            <w:shd w:val="clear" w:color="auto" w:fill="FBE4D5" w:themeFill="accent2" w:themeFillTint="33"/>
          </w:tcPr>
          <w:p w:rsidR="000A5AC4" w:rsidRDefault="000A5AC4" w:rsidP="005C70E8">
            <w:pPr>
              <w:rPr>
                <w:rFonts w:cstheme="minorHAnsi"/>
                <w:b/>
              </w:rPr>
            </w:pPr>
          </w:p>
        </w:tc>
      </w:tr>
      <w:tr w:rsidR="000A5AC4" w:rsidTr="000A5AC4">
        <w:tc>
          <w:tcPr>
            <w:tcW w:w="3049" w:type="dxa"/>
          </w:tcPr>
          <w:p w:rsidR="000A5AC4" w:rsidRPr="00BA0F34" w:rsidRDefault="000A5AC4" w:rsidP="005C70E8">
            <w:pPr>
              <w:spacing w:before="60" w:after="60"/>
              <w:rPr>
                <w:rFonts w:cstheme="minorHAnsi"/>
              </w:rPr>
            </w:pPr>
            <w:r w:rsidRPr="00BA0F34">
              <w:rPr>
                <w:rFonts w:cstheme="minorHAnsi"/>
              </w:rPr>
              <w:t>RSO2.4</w:t>
            </w:r>
          </w:p>
          <w:p w:rsidR="000A5AC4" w:rsidRPr="00BA0F34" w:rsidRDefault="000A5AC4" w:rsidP="005C70E8">
            <w:r w:rsidRPr="00BA0F34">
              <w:rPr>
                <w:rFonts w:cstheme="minorHAnsi"/>
              </w:rPr>
              <w:t>Podpora adaptácie na zmenu klímy a prevencie rizika katastrof, ako aj odolnosti, a to s prihliadnutím na ekosystémové prístupy</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0A5AC4" w:rsidP="005C70E8"/>
        </w:tc>
        <w:tc>
          <w:tcPr>
            <w:tcW w:w="954" w:type="dxa"/>
          </w:tcPr>
          <w:p w:rsidR="000A5AC4" w:rsidRDefault="000A5AC4" w:rsidP="005C70E8">
            <w:r>
              <w:t>x</w:t>
            </w:r>
          </w:p>
        </w:tc>
        <w:tc>
          <w:tcPr>
            <w:tcW w:w="833" w:type="dxa"/>
          </w:tcPr>
          <w:p w:rsidR="000A5AC4" w:rsidRDefault="000A5AC4" w:rsidP="005C70E8">
            <w:r>
              <w:t>x</w:t>
            </w:r>
          </w:p>
        </w:tc>
        <w:tc>
          <w:tcPr>
            <w:tcW w:w="1230" w:type="dxa"/>
          </w:tcPr>
          <w:p w:rsidR="000A5AC4" w:rsidRDefault="00350123" w:rsidP="005C70E8">
            <w:r>
              <w:t>x</w:t>
            </w:r>
          </w:p>
        </w:tc>
        <w:tc>
          <w:tcPr>
            <w:tcW w:w="1247" w:type="dxa"/>
          </w:tcPr>
          <w:p w:rsidR="000A5AC4" w:rsidRDefault="000A5AC4" w:rsidP="005C70E8">
            <w:pPr>
              <w:rPr>
                <w:sz w:val="20"/>
                <w:szCs w:val="20"/>
              </w:rPr>
            </w:pPr>
            <w:r w:rsidRPr="000C33FE">
              <w:rPr>
                <w:sz w:val="20"/>
                <w:szCs w:val="20"/>
              </w:rPr>
              <w:t>LIFE</w:t>
            </w:r>
          </w:p>
          <w:p w:rsidR="000A5AC4" w:rsidRDefault="000A5AC4" w:rsidP="005C70E8">
            <w:pPr>
              <w:rPr>
                <w:sz w:val="20"/>
                <w:szCs w:val="20"/>
              </w:rPr>
            </w:pPr>
            <w:r>
              <w:rPr>
                <w:sz w:val="20"/>
                <w:szCs w:val="20"/>
              </w:rPr>
              <w:t>Erasmus+</w:t>
            </w:r>
          </w:p>
          <w:p w:rsidR="00556158" w:rsidRPr="000C33FE" w:rsidRDefault="00556158" w:rsidP="005C70E8">
            <w:pPr>
              <w:rPr>
                <w:sz w:val="20"/>
                <w:szCs w:val="20"/>
              </w:rPr>
            </w:pPr>
          </w:p>
        </w:tc>
        <w:tc>
          <w:tcPr>
            <w:tcW w:w="1118" w:type="dxa"/>
          </w:tcPr>
          <w:p w:rsidR="000A5AC4" w:rsidRDefault="000A5AC4" w:rsidP="005C70E8">
            <w:r>
              <w:t>x</w:t>
            </w:r>
          </w:p>
        </w:tc>
        <w:tc>
          <w:tcPr>
            <w:tcW w:w="955" w:type="dxa"/>
          </w:tcPr>
          <w:p w:rsidR="000A5AC4" w:rsidRDefault="000A5AC4" w:rsidP="005C70E8">
            <w:r>
              <w:t>x</w:t>
            </w:r>
          </w:p>
        </w:tc>
        <w:tc>
          <w:tcPr>
            <w:tcW w:w="1088" w:type="dxa"/>
          </w:tcPr>
          <w:p w:rsidR="000A5AC4" w:rsidRDefault="000A5AC4" w:rsidP="005C70E8"/>
        </w:tc>
        <w:tc>
          <w:tcPr>
            <w:tcW w:w="921" w:type="dxa"/>
          </w:tcPr>
          <w:p w:rsidR="000A5AC4" w:rsidRDefault="000A5AC4" w:rsidP="005C70E8">
            <w:r>
              <w:t>x</w:t>
            </w:r>
          </w:p>
        </w:tc>
      </w:tr>
      <w:tr w:rsidR="000A5AC4" w:rsidTr="000A5AC4">
        <w:tc>
          <w:tcPr>
            <w:tcW w:w="3049" w:type="dxa"/>
          </w:tcPr>
          <w:p w:rsidR="000A5AC4" w:rsidRPr="00BA0F34" w:rsidRDefault="000A5AC4" w:rsidP="005C70E8">
            <w:pPr>
              <w:spacing w:before="60" w:after="60"/>
              <w:rPr>
                <w:rFonts w:cstheme="minorHAnsi"/>
              </w:rPr>
            </w:pPr>
            <w:r w:rsidRPr="00BA0F34">
              <w:rPr>
                <w:rFonts w:cstheme="minorHAnsi"/>
              </w:rPr>
              <w:t>RSO2.5</w:t>
            </w:r>
          </w:p>
          <w:p w:rsidR="000A5AC4" w:rsidRPr="00BA0F34" w:rsidRDefault="000A5AC4" w:rsidP="005C70E8">
            <w:r w:rsidRPr="00BA0F34">
              <w:rPr>
                <w:rFonts w:cstheme="minorHAnsi"/>
              </w:rPr>
              <w:t>Podpora prístupu k vode a udržateľného vodného hospodárstva</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0A5AC4" w:rsidP="005C70E8"/>
        </w:tc>
        <w:tc>
          <w:tcPr>
            <w:tcW w:w="954" w:type="dxa"/>
          </w:tcPr>
          <w:p w:rsidR="000A5AC4" w:rsidRDefault="00A20198" w:rsidP="005C70E8">
            <w:r>
              <w:t>x</w:t>
            </w:r>
          </w:p>
        </w:tc>
        <w:tc>
          <w:tcPr>
            <w:tcW w:w="833" w:type="dxa"/>
          </w:tcPr>
          <w:p w:rsidR="000A5AC4" w:rsidRDefault="000A5AC4" w:rsidP="005C70E8">
            <w:r>
              <w:t>x</w:t>
            </w:r>
          </w:p>
        </w:tc>
        <w:tc>
          <w:tcPr>
            <w:tcW w:w="1230" w:type="dxa"/>
          </w:tcPr>
          <w:p w:rsidR="000A5AC4" w:rsidRDefault="000A5AC4" w:rsidP="005C70E8"/>
        </w:tc>
        <w:tc>
          <w:tcPr>
            <w:tcW w:w="1247" w:type="dxa"/>
          </w:tcPr>
          <w:p w:rsidR="000A5AC4" w:rsidRPr="000C33FE" w:rsidRDefault="000A5AC4" w:rsidP="005C70E8">
            <w:pPr>
              <w:rPr>
                <w:sz w:val="20"/>
                <w:szCs w:val="20"/>
              </w:rPr>
            </w:pPr>
            <w:r w:rsidRPr="000C33FE">
              <w:rPr>
                <w:sz w:val="20"/>
                <w:szCs w:val="20"/>
              </w:rPr>
              <w:t>LIFE</w:t>
            </w:r>
          </w:p>
          <w:p w:rsidR="000A5AC4" w:rsidRPr="000C33FE" w:rsidRDefault="000A5AC4" w:rsidP="005C70E8">
            <w:pPr>
              <w:rPr>
                <w:sz w:val="20"/>
                <w:szCs w:val="20"/>
              </w:rPr>
            </w:pPr>
          </w:p>
          <w:p w:rsidR="000A5AC4" w:rsidRDefault="000A5AC4" w:rsidP="005C70E8">
            <w:pPr>
              <w:rPr>
                <w:sz w:val="20"/>
                <w:szCs w:val="20"/>
              </w:rPr>
            </w:pPr>
            <w:r w:rsidRPr="000C33FE">
              <w:rPr>
                <w:sz w:val="20"/>
                <w:szCs w:val="20"/>
              </w:rPr>
              <w:t>Horizont Európa</w:t>
            </w:r>
          </w:p>
          <w:p w:rsidR="00556158" w:rsidRPr="000C33FE" w:rsidRDefault="00556158" w:rsidP="00556158">
            <w:pPr>
              <w:rPr>
                <w:sz w:val="20"/>
                <w:szCs w:val="20"/>
              </w:rPr>
            </w:pPr>
          </w:p>
        </w:tc>
        <w:tc>
          <w:tcPr>
            <w:tcW w:w="1118" w:type="dxa"/>
          </w:tcPr>
          <w:p w:rsidR="000A5AC4" w:rsidRDefault="000A5AC4" w:rsidP="005C70E8">
            <w:r>
              <w:t>x</w:t>
            </w:r>
          </w:p>
        </w:tc>
        <w:tc>
          <w:tcPr>
            <w:tcW w:w="955" w:type="dxa"/>
          </w:tcPr>
          <w:p w:rsidR="000A5AC4" w:rsidRDefault="000A5AC4" w:rsidP="005C70E8">
            <w:r>
              <w:t>x</w:t>
            </w:r>
          </w:p>
        </w:tc>
        <w:tc>
          <w:tcPr>
            <w:tcW w:w="1088" w:type="dxa"/>
          </w:tcPr>
          <w:p w:rsidR="000A5AC4" w:rsidRDefault="000A5AC4" w:rsidP="005C70E8">
            <w:r>
              <w:t>Catching-up</w:t>
            </w:r>
            <w:r w:rsidR="00EF0988">
              <w:t xml:space="preserve"> Regions</w:t>
            </w:r>
          </w:p>
        </w:tc>
        <w:tc>
          <w:tcPr>
            <w:tcW w:w="921" w:type="dxa"/>
          </w:tcPr>
          <w:p w:rsidR="000A5AC4" w:rsidRDefault="000A5AC4" w:rsidP="005C70E8">
            <w:r>
              <w:t>x</w:t>
            </w:r>
          </w:p>
        </w:tc>
      </w:tr>
      <w:tr w:rsidR="000A5AC4" w:rsidTr="000A5AC4">
        <w:tc>
          <w:tcPr>
            <w:tcW w:w="3049" w:type="dxa"/>
          </w:tcPr>
          <w:p w:rsidR="000A5AC4" w:rsidRPr="00BA0F34" w:rsidRDefault="000A5AC4" w:rsidP="005C70E8">
            <w:pPr>
              <w:spacing w:before="60" w:after="60"/>
              <w:rPr>
                <w:rFonts w:cstheme="minorHAnsi"/>
              </w:rPr>
            </w:pPr>
            <w:r w:rsidRPr="00BA0F34">
              <w:rPr>
                <w:rFonts w:cstheme="minorHAnsi"/>
              </w:rPr>
              <w:t>RSO2.6</w:t>
            </w:r>
          </w:p>
          <w:p w:rsidR="000A5AC4" w:rsidRPr="00BA0F34" w:rsidRDefault="000A5AC4" w:rsidP="005C70E8">
            <w:r w:rsidRPr="00BA0F34">
              <w:rPr>
                <w:rFonts w:cstheme="minorHAnsi"/>
              </w:rPr>
              <w:t>Podpora prechodu na obehové hospodárstvo, ktoré efektívne využíva zdroje</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100DEF" w:rsidP="005C70E8">
            <w:r>
              <w:t>x</w:t>
            </w:r>
          </w:p>
        </w:tc>
        <w:tc>
          <w:tcPr>
            <w:tcW w:w="954" w:type="dxa"/>
          </w:tcPr>
          <w:p w:rsidR="000A5AC4" w:rsidRDefault="000A5AC4" w:rsidP="005C70E8">
            <w:r>
              <w:t>x</w:t>
            </w:r>
          </w:p>
        </w:tc>
        <w:tc>
          <w:tcPr>
            <w:tcW w:w="833" w:type="dxa"/>
          </w:tcPr>
          <w:p w:rsidR="000A5AC4" w:rsidRDefault="000A5AC4" w:rsidP="005C70E8">
            <w:r>
              <w:t>x</w:t>
            </w:r>
          </w:p>
        </w:tc>
        <w:tc>
          <w:tcPr>
            <w:tcW w:w="1230" w:type="dxa"/>
          </w:tcPr>
          <w:p w:rsidR="000A5AC4" w:rsidRDefault="000A5AC4" w:rsidP="005C70E8"/>
        </w:tc>
        <w:tc>
          <w:tcPr>
            <w:tcW w:w="1247" w:type="dxa"/>
          </w:tcPr>
          <w:p w:rsidR="000A5AC4" w:rsidRDefault="000A5AC4" w:rsidP="005C70E8">
            <w:pPr>
              <w:rPr>
                <w:sz w:val="20"/>
                <w:szCs w:val="20"/>
              </w:rPr>
            </w:pPr>
            <w:r w:rsidRPr="000C33FE">
              <w:rPr>
                <w:sz w:val="20"/>
                <w:szCs w:val="20"/>
              </w:rPr>
              <w:t>LIFE</w:t>
            </w:r>
          </w:p>
          <w:p w:rsidR="00761835" w:rsidRDefault="00761835" w:rsidP="005C70E8">
            <w:pPr>
              <w:rPr>
                <w:sz w:val="20"/>
                <w:szCs w:val="20"/>
              </w:rPr>
            </w:pPr>
            <w:r>
              <w:rPr>
                <w:sz w:val="20"/>
                <w:szCs w:val="20"/>
              </w:rPr>
              <w:t>Erasmus+</w:t>
            </w:r>
          </w:p>
          <w:p w:rsidR="00350123" w:rsidRPr="000C33FE" w:rsidRDefault="00350123" w:rsidP="005C70E8">
            <w:pPr>
              <w:rPr>
                <w:sz w:val="20"/>
                <w:szCs w:val="20"/>
              </w:rPr>
            </w:pPr>
            <w:r>
              <w:rPr>
                <w:sz w:val="20"/>
                <w:szCs w:val="20"/>
              </w:rPr>
              <w:t>MODFOND</w:t>
            </w:r>
          </w:p>
        </w:tc>
        <w:tc>
          <w:tcPr>
            <w:tcW w:w="1118" w:type="dxa"/>
          </w:tcPr>
          <w:p w:rsidR="000A5AC4" w:rsidRDefault="000A5AC4" w:rsidP="005C70E8"/>
        </w:tc>
        <w:tc>
          <w:tcPr>
            <w:tcW w:w="955" w:type="dxa"/>
          </w:tcPr>
          <w:p w:rsidR="000A5AC4" w:rsidRDefault="000A5AC4" w:rsidP="005C70E8"/>
        </w:tc>
        <w:tc>
          <w:tcPr>
            <w:tcW w:w="1088" w:type="dxa"/>
          </w:tcPr>
          <w:p w:rsidR="000A5AC4" w:rsidRDefault="000A5AC4" w:rsidP="005C70E8"/>
        </w:tc>
        <w:tc>
          <w:tcPr>
            <w:tcW w:w="921" w:type="dxa"/>
          </w:tcPr>
          <w:p w:rsidR="000A5AC4" w:rsidRDefault="000A5AC4" w:rsidP="005C70E8">
            <w:r>
              <w:t>x</w:t>
            </w:r>
          </w:p>
        </w:tc>
      </w:tr>
      <w:tr w:rsidR="000A5AC4" w:rsidTr="000A5AC4">
        <w:tc>
          <w:tcPr>
            <w:tcW w:w="3049" w:type="dxa"/>
          </w:tcPr>
          <w:p w:rsidR="000A5AC4" w:rsidRPr="00BA0F34" w:rsidRDefault="000A5AC4" w:rsidP="005C70E8">
            <w:pPr>
              <w:spacing w:before="60" w:after="60"/>
              <w:rPr>
                <w:rFonts w:cstheme="minorHAnsi"/>
              </w:rPr>
            </w:pPr>
            <w:r w:rsidRPr="00BA0F34">
              <w:rPr>
                <w:rFonts w:cstheme="minorHAnsi"/>
              </w:rPr>
              <w:t>RSO2.7</w:t>
            </w:r>
          </w:p>
          <w:p w:rsidR="000A5AC4" w:rsidRPr="00BA0F34" w:rsidRDefault="000A5AC4" w:rsidP="005C70E8">
            <w:r w:rsidRPr="00BA0F34">
              <w:rPr>
                <w:rFonts w:cstheme="minorHAnsi"/>
              </w:rPr>
              <w:t>Posilnenie ochrany a zachovania prírody, biodiverzity a zelenej infraštruktúry, a to aj v mestských oblastiach, a zníženia všetkých foriem znečistenia</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100DEF" w:rsidP="005C70E8">
            <w:r>
              <w:t>x</w:t>
            </w:r>
          </w:p>
        </w:tc>
        <w:tc>
          <w:tcPr>
            <w:tcW w:w="954" w:type="dxa"/>
          </w:tcPr>
          <w:p w:rsidR="000A5AC4" w:rsidRDefault="000A5AC4" w:rsidP="005C70E8">
            <w:r>
              <w:t>x</w:t>
            </w:r>
          </w:p>
        </w:tc>
        <w:tc>
          <w:tcPr>
            <w:tcW w:w="833" w:type="dxa"/>
          </w:tcPr>
          <w:p w:rsidR="000A5AC4" w:rsidRDefault="000A5AC4" w:rsidP="005C70E8">
            <w:r>
              <w:t>x</w:t>
            </w:r>
          </w:p>
        </w:tc>
        <w:tc>
          <w:tcPr>
            <w:tcW w:w="1230" w:type="dxa"/>
          </w:tcPr>
          <w:p w:rsidR="000A5AC4" w:rsidRDefault="00350123" w:rsidP="005C70E8">
            <w:r>
              <w:t>X</w:t>
            </w:r>
          </w:p>
        </w:tc>
        <w:tc>
          <w:tcPr>
            <w:tcW w:w="1247" w:type="dxa"/>
          </w:tcPr>
          <w:p w:rsidR="000A5AC4" w:rsidRPr="000C33FE" w:rsidRDefault="000A5AC4" w:rsidP="005C70E8">
            <w:pPr>
              <w:rPr>
                <w:sz w:val="20"/>
                <w:szCs w:val="20"/>
              </w:rPr>
            </w:pPr>
            <w:r w:rsidRPr="000C33FE">
              <w:rPr>
                <w:sz w:val="20"/>
                <w:szCs w:val="20"/>
              </w:rPr>
              <w:t>LIFE</w:t>
            </w:r>
          </w:p>
          <w:p w:rsidR="000A5AC4" w:rsidRPr="000C33FE" w:rsidRDefault="00761835" w:rsidP="005C70E8">
            <w:pPr>
              <w:rPr>
                <w:sz w:val="20"/>
                <w:szCs w:val="20"/>
              </w:rPr>
            </w:pPr>
            <w:r>
              <w:rPr>
                <w:sz w:val="20"/>
                <w:szCs w:val="20"/>
              </w:rPr>
              <w:t>Erasmus+</w:t>
            </w:r>
          </w:p>
          <w:p w:rsidR="000A5AC4" w:rsidRDefault="000A5AC4" w:rsidP="005C70E8">
            <w:r w:rsidRPr="000C33FE">
              <w:rPr>
                <w:sz w:val="20"/>
                <w:szCs w:val="20"/>
              </w:rPr>
              <w:t>Horizont Európa</w:t>
            </w:r>
          </w:p>
        </w:tc>
        <w:tc>
          <w:tcPr>
            <w:tcW w:w="1118" w:type="dxa"/>
          </w:tcPr>
          <w:p w:rsidR="000A5AC4" w:rsidRDefault="000A5AC4" w:rsidP="005C70E8">
            <w:r>
              <w:t>x</w:t>
            </w:r>
          </w:p>
        </w:tc>
        <w:tc>
          <w:tcPr>
            <w:tcW w:w="955" w:type="dxa"/>
          </w:tcPr>
          <w:p w:rsidR="000A5AC4" w:rsidRDefault="000A5AC4" w:rsidP="005C70E8">
            <w:r>
              <w:t>x</w:t>
            </w:r>
          </w:p>
        </w:tc>
        <w:tc>
          <w:tcPr>
            <w:tcW w:w="1088" w:type="dxa"/>
          </w:tcPr>
          <w:p w:rsidR="000A5AC4" w:rsidRDefault="000A5AC4" w:rsidP="005C70E8"/>
        </w:tc>
        <w:tc>
          <w:tcPr>
            <w:tcW w:w="921" w:type="dxa"/>
          </w:tcPr>
          <w:p w:rsidR="000A5AC4" w:rsidRDefault="000A5AC4" w:rsidP="005C70E8">
            <w:r>
              <w:t>x</w:t>
            </w:r>
          </w:p>
        </w:tc>
      </w:tr>
      <w:tr w:rsidR="000A5AC4" w:rsidTr="000A5AC4">
        <w:tc>
          <w:tcPr>
            <w:tcW w:w="13073" w:type="dxa"/>
            <w:gridSpan w:val="11"/>
            <w:shd w:val="clear" w:color="auto" w:fill="FBE4D5" w:themeFill="accent2" w:themeFillTint="33"/>
          </w:tcPr>
          <w:p w:rsidR="000A5AC4" w:rsidRDefault="000A5AC4" w:rsidP="005C70E8">
            <w:r>
              <w:rPr>
                <w:rFonts w:cstheme="minorHAnsi"/>
                <w:b/>
              </w:rPr>
              <w:lastRenderedPageBreak/>
              <w:t>Priorita</w:t>
            </w:r>
            <w:r w:rsidRPr="00C95F50">
              <w:rPr>
                <w:rFonts w:cstheme="minorHAnsi"/>
                <w:b/>
              </w:rPr>
              <w:t xml:space="preserve"> 3 Udržateľná mestská mobilita</w:t>
            </w:r>
          </w:p>
        </w:tc>
        <w:tc>
          <w:tcPr>
            <w:tcW w:w="921" w:type="dxa"/>
            <w:shd w:val="clear" w:color="auto" w:fill="FBE4D5" w:themeFill="accent2" w:themeFillTint="33"/>
          </w:tcPr>
          <w:p w:rsidR="000A5AC4" w:rsidRDefault="000A5AC4" w:rsidP="005C70E8">
            <w:pPr>
              <w:rPr>
                <w:rFonts w:cstheme="minorHAnsi"/>
                <w:b/>
              </w:rPr>
            </w:pPr>
          </w:p>
        </w:tc>
      </w:tr>
      <w:tr w:rsidR="000A5AC4" w:rsidTr="000A5AC4">
        <w:tc>
          <w:tcPr>
            <w:tcW w:w="3049" w:type="dxa"/>
          </w:tcPr>
          <w:p w:rsidR="000A5AC4" w:rsidRPr="00BA0F34" w:rsidRDefault="000A5AC4" w:rsidP="005C70E8">
            <w:pPr>
              <w:spacing w:before="60" w:after="60"/>
              <w:rPr>
                <w:rFonts w:cstheme="minorHAnsi"/>
              </w:rPr>
            </w:pPr>
            <w:r w:rsidRPr="00BA0F34">
              <w:rPr>
                <w:rFonts w:cstheme="minorHAnsi"/>
              </w:rPr>
              <w:t>RSO2.8</w:t>
            </w:r>
          </w:p>
          <w:p w:rsidR="000A5AC4" w:rsidRPr="00BA0F34" w:rsidRDefault="000A5AC4" w:rsidP="005C70E8">
            <w:r w:rsidRPr="00BA0F34">
              <w:rPr>
                <w:rFonts w:cstheme="minorHAnsi"/>
              </w:rPr>
              <w:t>Podpora udržateľnej multimodálnej mestskej mobility ako súčasti prechodu na hospodárstvo s nulovou bilanciou uhlíka</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100DEF" w:rsidP="005C70E8">
            <w:r>
              <w:t>x</w:t>
            </w:r>
          </w:p>
        </w:tc>
        <w:tc>
          <w:tcPr>
            <w:tcW w:w="954" w:type="dxa"/>
          </w:tcPr>
          <w:p w:rsidR="000A5AC4" w:rsidRDefault="000A5AC4" w:rsidP="005C70E8">
            <w:r>
              <w:t>x</w:t>
            </w:r>
          </w:p>
        </w:tc>
        <w:tc>
          <w:tcPr>
            <w:tcW w:w="833" w:type="dxa"/>
          </w:tcPr>
          <w:p w:rsidR="000A5AC4" w:rsidRDefault="000A5AC4" w:rsidP="005C70E8">
            <w:r>
              <w:t>x</w:t>
            </w:r>
          </w:p>
        </w:tc>
        <w:tc>
          <w:tcPr>
            <w:tcW w:w="1230" w:type="dxa"/>
          </w:tcPr>
          <w:p w:rsidR="000A5AC4" w:rsidRDefault="000A5AC4" w:rsidP="005C70E8"/>
        </w:tc>
        <w:tc>
          <w:tcPr>
            <w:tcW w:w="1247" w:type="dxa"/>
          </w:tcPr>
          <w:p w:rsidR="000A5AC4" w:rsidRDefault="000A5AC4" w:rsidP="005C70E8">
            <w:r>
              <w:t>CEF</w:t>
            </w:r>
          </w:p>
          <w:p w:rsidR="00350123" w:rsidRDefault="00350123" w:rsidP="005C70E8">
            <w:r>
              <w:t>MODFOND</w:t>
            </w:r>
          </w:p>
        </w:tc>
        <w:tc>
          <w:tcPr>
            <w:tcW w:w="1118" w:type="dxa"/>
          </w:tcPr>
          <w:p w:rsidR="000A5AC4" w:rsidRDefault="000A5AC4" w:rsidP="005C70E8">
            <w:r>
              <w:t>x</w:t>
            </w:r>
          </w:p>
        </w:tc>
        <w:tc>
          <w:tcPr>
            <w:tcW w:w="955" w:type="dxa"/>
          </w:tcPr>
          <w:p w:rsidR="000A5AC4" w:rsidRDefault="000A5AC4" w:rsidP="005C70E8"/>
        </w:tc>
        <w:tc>
          <w:tcPr>
            <w:tcW w:w="1088" w:type="dxa"/>
          </w:tcPr>
          <w:p w:rsidR="000A5AC4" w:rsidRDefault="000A5AC4" w:rsidP="005C70E8"/>
        </w:tc>
        <w:tc>
          <w:tcPr>
            <w:tcW w:w="921" w:type="dxa"/>
          </w:tcPr>
          <w:p w:rsidR="000A5AC4" w:rsidRDefault="000A5AC4" w:rsidP="005C70E8"/>
        </w:tc>
      </w:tr>
      <w:tr w:rsidR="000A5AC4" w:rsidTr="000A5AC4">
        <w:tc>
          <w:tcPr>
            <w:tcW w:w="3049" w:type="dxa"/>
            <w:shd w:val="clear" w:color="auto" w:fill="C45911" w:themeFill="accent2" w:themeFillShade="BF"/>
          </w:tcPr>
          <w:p w:rsidR="000A5AC4" w:rsidRPr="007201CD" w:rsidRDefault="000A5AC4" w:rsidP="00844E27">
            <w:pPr>
              <w:rPr>
                <w:b/>
                <w:color w:val="FFFFFF" w:themeColor="background1"/>
              </w:rPr>
            </w:pPr>
            <w:r w:rsidRPr="007201CD">
              <w:rPr>
                <w:b/>
                <w:color w:val="FFFFFF" w:themeColor="background1"/>
              </w:rPr>
              <w:t xml:space="preserve">                                    Fond/nástroj</w:t>
            </w:r>
          </w:p>
          <w:p w:rsidR="000A5AC4" w:rsidRPr="007201CD" w:rsidRDefault="000A5AC4" w:rsidP="00844E27">
            <w:pPr>
              <w:rPr>
                <w:color w:val="FFFFFF" w:themeColor="background1"/>
              </w:rPr>
            </w:pPr>
          </w:p>
          <w:p w:rsidR="000A5AC4" w:rsidRPr="007201CD" w:rsidRDefault="000A5AC4" w:rsidP="00844E27">
            <w:pPr>
              <w:rPr>
                <w:b/>
                <w:color w:val="FFFFFF" w:themeColor="background1"/>
              </w:rPr>
            </w:pPr>
            <w:r w:rsidRPr="007201CD">
              <w:rPr>
                <w:b/>
                <w:color w:val="FFFFFF" w:themeColor="background1"/>
              </w:rPr>
              <w:t>Programu</w:t>
            </w:r>
          </w:p>
          <w:p w:rsidR="000A5AC4" w:rsidRPr="007201CD" w:rsidRDefault="000A5AC4" w:rsidP="00844E27">
            <w:pPr>
              <w:spacing w:before="60" w:after="60"/>
              <w:rPr>
                <w:rFonts w:cstheme="minorHAnsi"/>
                <w:color w:val="FFFFFF" w:themeColor="background1"/>
              </w:rPr>
            </w:pPr>
            <w:r w:rsidRPr="007201CD">
              <w:rPr>
                <w:b/>
                <w:color w:val="FFFFFF" w:themeColor="background1"/>
              </w:rPr>
              <w:t>Slovensko</w:t>
            </w:r>
          </w:p>
        </w:tc>
        <w:tc>
          <w:tcPr>
            <w:tcW w:w="920"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EFRR</w:t>
            </w:r>
          </w:p>
        </w:tc>
        <w:tc>
          <w:tcPr>
            <w:tcW w:w="868"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ESF+</w:t>
            </w:r>
          </w:p>
        </w:tc>
        <w:tc>
          <w:tcPr>
            <w:tcW w:w="811"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FST</w:t>
            </w:r>
          </w:p>
        </w:tc>
        <w:tc>
          <w:tcPr>
            <w:tcW w:w="954"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EPFRV</w:t>
            </w:r>
          </w:p>
        </w:tc>
        <w:tc>
          <w:tcPr>
            <w:tcW w:w="833"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POO</w:t>
            </w:r>
          </w:p>
        </w:tc>
        <w:tc>
          <w:tcPr>
            <w:tcW w:w="1230" w:type="dxa"/>
            <w:shd w:val="clear" w:color="auto" w:fill="C45911" w:themeFill="accent2" w:themeFillShade="BF"/>
          </w:tcPr>
          <w:p w:rsidR="000A5AC4" w:rsidRPr="007201CD" w:rsidRDefault="00350123" w:rsidP="00844E27">
            <w:pPr>
              <w:rPr>
                <w:color w:val="FFFFFF" w:themeColor="background1"/>
              </w:rPr>
            </w:pPr>
            <w:r w:rsidRPr="007201CD">
              <w:rPr>
                <w:b/>
                <w:color w:val="FFFFFF" w:themeColor="background1"/>
              </w:rPr>
              <w:t>ENRAF</w:t>
            </w:r>
          </w:p>
        </w:tc>
        <w:tc>
          <w:tcPr>
            <w:tcW w:w="1247"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Ďalšie programy a nástroje EÚ</w:t>
            </w:r>
          </w:p>
        </w:tc>
        <w:tc>
          <w:tcPr>
            <w:tcW w:w="1118"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Programy Interreg</w:t>
            </w:r>
          </w:p>
        </w:tc>
        <w:tc>
          <w:tcPr>
            <w:tcW w:w="955" w:type="dxa"/>
            <w:shd w:val="clear" w:color="auto" w:fill="C45911" w:themeFill="accent2" w:themeFillShade="BF"/>
          </w:tcPr>
          <w:p w:rsidR="000A5AC4" w:rsidRPr="007201CD" w:rsidRDefault="000A5AC4" w:rsidP="00844E27">
            <w:pPr>
              <w:rPr>
                <w:b/>
                <w:color w:val="FFFFFF" w:themeColor="background1"/>
              </w:rPr>
            </w:pPr>
            <w:r w:rsidRPr="007201CD">
              <w:rPr>
                <w:b/>
                <w:color w:val="FFFFFF" w:themeColor="background1"/>
              </w:rPr>
              <w:t>EUSRD</w:t>
            </w:r>
          </w:p>
        </w:tc>
        <w:tc>
          <w:tcPr>
            <w:tcW w:w="1088" w:type="dxa"/>
            <w:shd w:val="clear" w:color="auto" w:fill="C45911" w:themeFill="accent2" w:themeFillShade="BF"/>
          </w:tcPr>
          <w:p w:rsidR="000A5AC4" w:rsidRPr="007201CD" w:rsidRDefault="000A5AC4" w:rsidP="00844E27">
            <w:pPr>
              <w:rPr>
                <w:b/>
                <w:color w:val="FFFFFF" w:themeColor="background1"/>
              </w:rPr>
            </w:pPr>
            <w:r w:rsidRPr="007201CD">
              <w:rPr>
                <w:b/>
                <w:color w:val="FFFFFF" w:themeColor="background1"/>
              </w:rPr>
              <w:t>Iniciatívy EK</w:t>
            </w:r>
          </w:p>
        </w:tc>
        <w:tc>
          <w:tcPr>
            <w:tcW w:w="921" w:type="dxa"/>
            <w:shd w:val="clear" w:color="auto" w:fill="C45911" w:themeFill="accent2" w:themeFillShade="BF"/>
          </w:tcPr>
          <w:p w:rsidR="000A5AC4" w:rsidRPr="007201CD" w:rsidRDefault="000A5AC4" w:rsidP="00844E27">
            <w:pPr>
              <w:rPr>
                <w:b/>
                <w:color w:val="FFFFFF" w:themeColor="background1"/>
              </w:rPr>
            </w:pPr>
          </w:p>
        </w:tc>
      </w:tr>
      <w:tr w:rsidR="000A5AC4" w:rsidTr="000A5AC4">
        <w:tc>
          <w:tcPr>
            <w:tcW w:w="13073" w:type="dxa"/>
            <w:gridSpan w:val="11"/>
            <w:shd w:val="clear" w:color="auto" w:fill="F4B083" w:themeFill="accent2" w:themeFillTint="99"/>
          </w:tcPr>
          <w:p w:rsidR="000A5AC4" w:rsidRPr="005E70C3" w:rsidRDefault="000A5AC4" w:rsidP="005C70E8">
            <w:pPr>
              <w:spacing w:before="60" w:after="60"/>
              <w:rPr>
                <w:rFonts w:cstheme="minorHAnsi"/>
                <w:b/>
              </w:rPr>
            </w:pPr>
            <w:r w:rsidRPr="00BA0F34">
              <w:rPr>
                <w:rFonts w:cstheme="minorHAnsi"/>
                <w:b/>
              </w:rPr>
              <w:t>C</w:t>
            </w:r>
            <w:r>
              <w:rPr>
                <w:rFonts w:cstheme="minorHAnsi"/>
                <w:b/>
              </w:rPr>
              <w:t xml:space="preserve">ieľ politiky </w:t>
            </w:r>
            <w:r w:rsidRPr="00BA0F34">
              <w:rPr>
                <w:rFonts w:cstheme="minorHAnsi"/>
                <w:b/>
              </w:rPr>
              <w:t>3</w:t>
            </w:r>
            <w:r>
              <w:rPr>
                <w:rFonts w:cstheme="minorHAnsi"/>
                <w:b/>
              </w:rPr>
              <w:t xml:space="preserve"> </w:t>
            </w:r>
            <w:r w:rsidRPr="00BA0F34">
              <w:rPr>
                <w:rFonts w:cstheme="minorHAnsi"/>
                <w:b/>
              </w:rPr>
              <w:t xml:space="preserve">Prepojenejšia Európa </w:t>
            </w:r>
          </w:p>
        </w:tc>
        <w:tc>
          <w:tcPr>
            <w:tcW w:w="921" w:type="dxa"/>
            <w:shd w:val="clear" w:color="auto" w:fill="F4B083" w:themeFill="accent2" w:themeFillTint="99"/>
          </w:tcPr>
          <w:p w:rsidR="000A5AC4" w:rsidRPr="00BA0F34" w:rsidRDefault="000A5AC4" w:rsidP="005C70E8">
            <w:pPr>
              <w:spacing w:before="60" w:after="60"/>
              <w:rPr>
                <w:rFonts w:cstheme="minorHAnsi"/>
                <w:b/>
              </w:rPr>
            </w:pPr>
          </w:p>
        </w:tc>
      </w:tr>
      <w:tr w:rsidR="000A5AC4" w:rsidTr="000A5AC4">
        <w:tc>
          <w:tcPr>
            <w:tcW w:w="13073" w:type="dxa"/>
            <w:gridSpan w:val="11"/>
            <w:shd w:val="clear" w:color="auto" w:fill="FBE4D5" w:themeFill="accent2" w:themeFillTint="33"/>
          </w:tcPr>
          <w:p w:rsidR="000A5AC4" w:rsidRDefault="000A5AC4" w:rsidP="005C70E8">
            <w:r>
              <w:rPr>
                <w:rFonts w:cstheme="minorHAnsi"/>
                <w:b/>
              </w:rPr>
              <w:t>Priorita 1 Doprava</w:t>
            </w:r>
          </w:p>
        </w:tc>
        <w:tc>
          <w:tcPr>
            <w:tcW w:w="921" w:type="dxa"/>
            <w:shd w:val="clear" w:color="auto" w:fill="FBE4D5" w:themeFill="accent2" w:themeFillTint="33"/>
          </w:tcPr>
          <w:p w:rsidR="000A5AC4" w:rsidRDefault="000A5AC4" w:rsidP="005C70E8">
            <w:pPr>
              <w:rPr>
                <w:rFonts w:cstheme="minorHAnsi"/>
                <w:b/>
              </w:rPr>
            </w:pPr>
          </w:p>
        </w:tc>
      </w:tr>
      <w:tr w:rsidR="000A5AC4" w:rsidTr="000A5AC4">
        <w:tc>
          <w:tcPr>
            <w:tcW w:w="3049" w:type="dxa"/>
          </w:tcPr>
          <w:p w:rsidR="000A5AC4" w:rsidRPr="00BA0F34" w:rsidRDefault="000A5AC4" w:rsidP="005C70E8">
            <w:pPr>
              <w:spacing w:before="60" w:after="60"/>
              <w:rPr>
                <w:rFonts w:cstheme="minorHAnsi"/>
              </w:rPr>
            </w:pPr>
            <w:r w:rsidRPr="00BA0F34">
              <w:rPr>
                <w:rFonts w:cstheme="minorHAnsi"/>
              </w:rPr>
              <w:t>RSO3.1</w:t>
            </w:r>
          </w:p>
          <w:p w:rsidR="000A5AC4" w:rsidRPr="00BA0F34" w:rsidRDefault="000A5AC4" w:rsidP="005C70E8">
            <w:r w:rsidRPr="00BA0F34">
              <w:rPr>
                <w:rFonts w:cstheme="minorHAnsi"/>
              </w:rPr>
              <w:t>Rozvoj inteligentnej, bezpečnej, udržateľnej a intermodálnej TEN-T odolnej proti zmene klímy</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0A5AC4" w:rsidP="005C70E8"/>
        </w:tc>
        <w:tc>
          <w:tcPr>
            <w:tcW w:w="954" w:type="dxa"/>
          </w:tcPr>
          <w:p w:rsidR="000A5AC4" w:rsidRDefault="000A5AC4" w:rsidP="005C70E8"/>
        </w:tc>
        <w:tc>
          <w:tcPr>
            <w:tcW w:w="833" w:type="dxa"/>
          </w:tcPr>
          <w:p w:rsidR="000A5AC4" w:rsidRDefault="000A5AC4" w:rsidP="005C70E8">
            <w:r>
              <w:t>x</w:t>
            </w:r>
          </w:p>
        </w:tc>
        <w:tc>
          <w:tcPr>
            <w:tcW w:w="1230" w:type="dxa"/>
          </w:tcPr>
          <w:p w:rsidR="000A5AC4" w:rsidRDefault="000A5AC4" w:rsidP="005C70E8"/>
        </w:tc>
        <w:tc>
          <w:tcPr>
            <w:tcW w:w="1247" w:type="dxa"/>
          </w:tcPr>
          <w:p w:rsidR="000A5AC4" w:rsidRDefault="000A5AC4" w:rsidP="005C70E8">
            <w:r>
              <w:t>CEF</w:t>
            </w:r>
          </w:p>
          <w:p w:rsidR="000A5AC4" w:rsidRPr="00632F48" w:rsidRDefault="000A5AC4" w:rsidP="005C70E8">
            <w:pPr>
              <w:rPr>
                <w:sz w:val="20"/>
                <w:szCs w:val="20"/>
              </w:rPr>
            </w:pPr>
            <w:r w:rsidRPr="00632F48">
              <w:rPr>
                <w:sz w:val="20"/>
                <w:szCs w:val="20"/>
              </w:rPr>
              <w:t>Horizont Európa</w:t>
            </w:r>
          </w:p>
        </w:tc>
        <w:tc>
          <w:tcPr>
            <w:tcW w:w="1118" w:type="dxa"/>
          </w:tcPr>
          <w:p w:rsidR="000A5AC4" w:rsidRDefault="000A5AC4" w:rsidP="005C70E8">
            <w:r>
              <w:t>x</w:t>
            </w:r>
          </w:p>
        </w:tc>
        <w:tc>
          <w:tcPr>
            <w:tcW w:w="955" w:type="dxa"/>
          </w:tcPr>
          <w:p w:rsidR="000A5AC4" w:rsidRDefault="000A5AC4" w:rsidP="005C70E8">
            <w:r>
              <w:t>x</w:t>
            </w:r>
          </w:p>
        </w:tc>
        <w:tc>
          <w:tcPr>
            <w:tcW w:w="1088" w:type="dxa"/>
          </w:tcPr>
          <w:p w:rsidR="000A5AC4" w:rsidRDefault="000A5AC4" w:rsidP="005C70E8"/>
        </w:tc>
        <w:tc>
          <w:tcPr>
            <w:tcW w:w="921" w:type="dxa"/>
          </w:tcPr>
          <w:p w:rsidR="000A5AC4" w:rsidRDefault="000A5AC4" w:rsidP="005C70E8"/>
        </w:tc>
      </w:tr>
      <w:tr w:rsidR="000A5AC4" w:rsidTr="000A5AC4">
        <w:tc>
          <w:tcPr>
            <w:tcW w:w="3049" w:type="dxa"/>
          </w:tcPr>
          <w:p w:rsidR="000A5AC4" w:rsidRPr="00BA0F34" w:rsidRDefault="000A5AC4" w:rsidP="005C70E8">
            <w:pPr>
              <w:spacing w:before="60" w:after="60"/>
              <w:rPr>
                <w:rFonts w:cstheme="minorHAnsi"/>
              </w:rPr>
            </w:pPr>
            <w:r w:rsidRPr="00BA0F34">
              <w:rPr>
                <w:rFonts w:cstheme="minorHAnsi"/>
              </w:rPr>
              <w:t>RSO3.2</w:t>
            </w:r>
          </w:p>
          <w:p w:rsidR="000A5AC4" w:rsidRPr="00BA0F34" w:rsidRDefault="000A5AC4" w:rsidP="005C70E8">
            <w:r w:rsidRPr="00BA0F34">
              <w:rPr>
                <w:rFonts w:cstheme="minorHAnsi"/>
              </w:rPr>
              <w:t>Rozvoj a posilňovanie udržateľnej, inteligentnej a intermodálnej vnútroštátnej, regionálnej a miestnej mobility</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0A5AC4" w:rsidP="005C70E8"/>
        </w:tc>
        <w:tc>
          <w:tcPr>
            <w:tcW w:w="954" w:type="dxa"/>
          </w:tcPr>
          <w:p w:rsidR="000A5AC4" w:rsidRDefault="000A5AC4" w:rsidP="005C70E8"/>
        </w:tc>
        <w:tc>
          <w:tcPr>
            <w:tcW w:w="833" w:type="dxa"/>
          </w:tcPr>
          <w:p w:rsidR="000A5AC4" w:rsidRDefault="000A5AC4" w:rsidP="005C70E8">
            <w:r>
              <w:t>x</w:t>
            </w:r>
          </w:p>
        </w:tc>
        <w:tc>
          <w:tcPr>
            <w:tcW w:w="1230" w:type="dxa"/>
          </w:tcPr>
          <w:p w:rsidR="000A5AC4" w:rsidRDefault="000A5AC4" w:rsidP="005C70E8"/>
        </w:tc>
        <w:tc>
          <w:tcPr>
            <w:tcW w:w="1247" w:type="dxa"/>
          </w:tcPr>
          <w:p w:rsidR="000A5AC4" w:rsidRDefault="000A5AC4" w:rsidP="005C70E8">
            <w:r>
              <w:t>CEF</w:t>
            </w:r>
          </w:p>
          <w:p w:rsidR="000A5AC4" w:rsidRDefault="000A5AC4" w:rsidP="005C70E8">
            <w:r w:rsidRPr="00632F48">
              <w:rPr>
                <w:sz w:val="20"/>
                <w:szCs w:val="20"/>
              </w:rPr>
              <w:t>Horizont Európa</w:t>
            </w:r>
          </w:p>
        </w:tc>
        <w:tc>
          <w:tcPr>
            <w:tcW w:w="1118" w:type="dxa"/>
          </w:tcPr>
          <w:p w:rsidR="000A5AC4" w:rsidRDefault="000A5AC4" w:rsidP="005C70E8">
            <w:r>
              <w:t>x</w:t>
            </w:r>
          </w:p>
        </w:tc>
        <w:tc>
          <w:tcPr>
            <w:tcW w:w="955" w:type="dxa"/>
          </w:tcPr>
          <w:p w:rsidR="000A5AC4" w:rsidRDefault="000A5AC4" w:rsidP="005C70E8"/>
        </w:tc>
        <w:tc>
          <w:tcPr>
            <w:tcW w:w="1088" w:type="dxa"/>
          </w:tcPr>
          <w:p w:rsidR="000A5AC4" w:rsidRDefault="000A5AC4" w:rsidP="005C70E8"/>
        </w:tc>
        <w:tc>
          <w:tcPr>
            <w:tcW w:w="921" w:type="dxa"/>
          </w:tcPr>
          <w:p w:rsidR="000A5AC4" w:rsidRDefault="000A5AC4" w:rsidP="005C70E8"/>
        </w:tc>
      </w:tr>
      <w:tr w:rsidR="000A5AC4" w:rsidTr="000A5AC4">
        <w:tc>
          <w:tcPr>
            <w:tcW w:w="3049" w:type="dxa"/>
            <w:shd w:val="clear" w:color="auto" w:fill="C45911" w:themeFill="accent2" w:themeFillShade="BF"/>
          </w:tcPr>
          <w:p w:rsidR="000A5AC4" w:rsidRPr="007201CD" w:rsidRDefault="000A5AC4" w:rsidP="00844E27">
            <w:pPr>
              <w:rPr>
                <w:b/>
                <w:color w:val="FFFFFF" w:themeColor="background1"/>
              </w:rPr>
            </w:pPr>
            <w:r w:rsidRPr="007201CD">
              <w:rPr>
                <w:b/>
                <w:color w:val="FFFFFF" w:themeColor="background1"/>
              </w:rPr>
              <w:t xml:space="preserve">                                    Fond/nástroj</w:t>
            </w:r>
          </w:p>
          <w:p w:rsidR="000A5AC4" w:rsidRPr="007201CD" w:rsidRDefault="000A5AC4" w:rsidP="00844E27">
            <w:pPr>
              <w:rPr>
                <w:color w:val="FFFFFF" w:themeColor="background1"/>
              </w:rPr>
            </w:pPr>
          </w:p>
          <w:p w:rsidR="000A5AC4" w:rsidRPr="007201CD" w:rsidRDefault="000A5AC4" w:rsidP="00844E27">
            <w:pPr>
              <w:rPr>
                <w:b/>
                <w:color w:val="FFFFFF" w:themeColor="background1"/>
              </w:rPr>
            </w:pPr>
            <w:r w:rsidRPr="007201CD">
              <w:rPr>
                <w:b/>
                <w:color w:val="FFFFFF" w:themeColor="background1"/>
              </w:rPr>
              <w:t>Programu</w:t>
            </w:r>
          </w:p>
          <w:p w:rsidR="000A5AC4" w:rsidRPr="007201CD" w:rsidRDefault="000A5AC4" w:rsidP="00844E27">
            <w:pPr>
              <w:spacing w:before="60" w:after="60"/>
              <w:rPr>
                <w:rFonts w:cstheme="minorHAnsi"/>
                <w:color w:val="FFFFFF" w:themeColor="background1"/>
              </w:rPr>
            </w:pPr>
            <w:r w:rsidRPr="007201CD">
              <w:rPr>
                <w:b/>
                <w:color w:val="FFFFFF" w:themeColor="background1"/>
              </w:rPr>
              <w:t>Slovensko</w:t>
            </w:r>
          </w:p>
        </w:tc>
        <w:tc>
          <w:tcPr>
            <w:tcW w:w="920"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EFRR</w:t>
            </w:r>
          </w:p>
        </w:tc>
        <w:tc>
          <w:tcPr>
            <w:tcW w:w="868"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ESF+</w:t>
            </w:r>
          </w:p>
        </w:tc>
        <w:tc>
          <w:tcPr>
            <w:tcW w:w="811"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FST</w:t>
            </w:r>
          </w:p>
        </w:tc>
        <w:tc>
          <w:tcPr>
            <w:tcW w:w="954"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EPFRV</w:t>
            </w:r>
          </w:p>
        </w:tc>
        <w:tc>
          <w:tcPr>
            <w:tcW w:w="833"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POO</w:t>
            </w:r>
          </w:p>
        </w:tc>
        <w:tc>
          <w:tcPr>
            <w:tcW w:w="1230" w:type="dxa"/>
            <w:shd w:val="clear" w:color="auto" w:fill="C45911" w:themeFill="accent2" w:themeFillShade="BF"/>
          </w:tcPr>
          <w:p w:rsidR="000A5AC4" w:rsidRPr="007201CD" w:rsidRDefault="00350123" w:rsidP="00844E27">
            <w:pPr>
              <w:rPr>
                <w:color w:val="FFFFFF" w:themeColor="background1"/>
              </w:rPr>
            </w:pPr>
            <w:r w:rsidRPr="007201CD">
              <w:rPr>
                <w:b/>
                <w:color w:val="FFFFFF" w:themeColor="background1"/>
              </w:rPr>
              <w:t>ENRAF</w:t>
            </w:r>
          </w:p>
        </w:tc>
        <w:tc>
          <w:tcPr>
            <w:tcW w:w="1247"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Ďalšie programy a nástroje EÚ</w:t>
            </w:r>
          </w:p>
        </w:tc>
        <w:tc>
          <w:tcPr>
            <w:tcW w:w="1118" w:type="dxa"/>
            <w:shd w:val="clear" w:color="auto" w:fill="C45911" w:themeFill="accent2" w:themeFillShade="BF"/>
          </w:tcPr>
          <w:p w:rsidR="000A5AC4" w:rsidRPr="007201CD" w:rsidRDefault="000A5AC4" w:rsidP="00844E27">
            <w:pPr>
              <w:rPr>
                <w:color w:val="FFFFFF" w:themeColor="background1"/>
              </w:rPr>
            </w:pPr>
            <w:r w:rsidRPr="007201CD">
              <w:rPr>
                <w:b/>
                <w:color w:val="FFFFFF" w:themeColor="background1"/>
              </w:rPr>
              <w:t>Programy Interreg</w:t>
            </w:r>
          </w:p>
        </w:tc>
        <w:tc>
          <w:tcPr>
            <w:tcW w:w="955" w:type="dxa"/>
            <w:shd w:val="clear" w:color="auto" w:fill="C45911" w:themeFill="accent2" w:themeFillShade="BF"/>
          </w:tcPr>
          <w:p w:rsidR="000A5AC4" w:rsidRPr="007201CD" w:rsidRDefault="000A5AC4" w:rsidP="00844E27">
            <w:pPr>
              <w:rPr>
                <w:b/>
                <w:color w:val="FFFFFF" w:themeColor="background1"/>
              </w:rPr>
            </w:pPr>
            <w:r w:rsidRPr="007201CD">
              <w:rPr>
                <w:b/>
                <w:color w:val="FFFFFF" w:themeColor="background1"/>
              </w:rPr>
              <w:t>EUSRD</w:t>
            </w:r>
          </w:p>
        </w:tc>
        <w:tc>
          <w:tcPr>
            <w:tcW w:w="1088" w:type="dxa"/>
            <w:shd w:val="clear" w:color="auto" w:fill="C45911" w:themeFill="accent2" w:themeFillShade="BF"/>
          </w:tcPr>
          <w:p w:rsidR="000A5AC4" w:rsidRPr="007201CD" w:rsidRDefault="000A5AC4" w:rsidP="00844E27">
            <w:pPr>
              <w:rPr>
                <w:b/>
                <w:color w:val="FFFFFF" w:themeColor="background1"/>
              </w:rPr>
            </w:pPr>
            <w:r w:rsidRPr="007201CD">
              <w:rPr>
                <w:b/>
                <w:color w:val="FFFFFF" w:themeColor="background1"/>
              </w:rPr>
              <w:t>Iniciatívy EK</w:t>
            </w:r>
          </w:p>
        </w:tc>
        <w:tc>
          <w:tcPr>
            <w:tcW w:w="921" w:type="dxa"/>
            <w:shd w:val="clear" w:color="auto" w:fill="C45911" w:themeFill="accent2" w:themeFillShade="BF"/>
          </w:tcPr>
          <w:p w:rsidR="000A5AC4" w:rsidRPr="007201CD" w:rsidRDefault="000A5AC4" w:rsidP="00844E27">
            <w:pPr>
              <w:rPr>
                <w:b/>
                <w:color w:val="FFFFFF" w:themeColor="background1"/>
              </w:rPr>
            </w:pPr>
          </w:p>
        </w:tc>
      </w:tr>
      <w:tr w:rsidR="000A5AC4" w:rsidTr="000A5AC4">
        <w:tc>
          <w:tcPr>
            <w:tcW w:w="13073" w:type="dxa"/>
            <w:gridSpan w:val="11"/>
            <w:shd w:val="clear" w:color="auto" w:fill="F4B083" w:themeFill="accent2" w:themeFillTint="99"/>
          </w:tcPr>
          <w:p w:rsidR="000A5AC4" w:rsidRPr="005E70C3" w:rsidRDefault="000A5AC4" w:rsidP="005C70E8">
            <w:pPr>
              <w:spacing w:before="60" w:after="60"/>
              <w:rPr>
                <w:rFonts w:cstheme="minorHAnsi"/>
                <w:b/>
              </w:rPr>
            </w:pPr>
            <w:r w:rsidRPr="00675CC1">
              <w:rPr>
                <w:rFonts w:cstheme="minorHAnsi"/>
                <w:b/>
              </w:rPr>
              <w:t>C</w:t>
            </w:r>
            <w:r>
              <w:rPr>
                <w:rFonts w:cstheme="minorHAnsi"/>
                <w:b/>
              </w:rPr>
              <w:t xml:space="preserve">ieľ politiky </w:t>
            </w:r>
            <w:r w:rsidRPr="00675CC1">
              <w:rPr>
                <w:rFonts w:cstheme="minorHAnsi"/>
                <w:b/>
              </w:rPr>
              <w:t>4</w:t>
            </w:r>
            <w:r>
              <w:rPr>
                <w:rFonts w:cstheme="minorHAnsi"/>
                <w:b/>
              </w:rPr>
              <w:t xml:space="preserve"> </w:t>
            </w:r>
            <w:r w:rsidRPr="00675CC1">
              <w:rPr>
                <w:rFonts w:cstheme="minorHAnsi"/>
                <w:b/>
              </w:rPr>
              <w:t xml:space="preserve">Sociálnejšia a inkluzívnejšia Európa </w:t>
            </w:r>
          </w:p>
        </w:tc>
        <w:tc>
          <w:tcPr>
            <w:tcW w:w="921" w:type="dxa"/>
            <w:shd w:val="clear" w:color="auto" w:fill="F4B083" w:themeFill="accent2" w:themeFillTint="99"/>
          </w:tcPr>
          <w:p w:rsidR="000A5AC4" w:rsidRPr="00675CC1" w:rsidRDefault="000A5AC4" w:rsidP="005C70E8">
            <w:pPr>
              <w:spacing w:before="60" w:after="60"/>
              <w:rPr>
                <w:rFonts w:cstheme="minorHAnsi"/>
                <w:b/>
              </w:rPr>
            </w:pPr>
          </w:p>
        </w:tc>
      </w:tr>
      <w:tr w:rsidR="000A5AC4" w:rsidTr="000A5AC4">
        <w:tc>
          <w:tcPr>
            <w:tcW w:w="3049" w:type="dxa"/>
            <w:shd w:val="clear" w:color="auto" w:fill="FBE4D5" w:themeFill="accent2" w:themeFillTint="33"/>
          </w:tcPr>
          <w:p w:rsidR="000A5AC4" w:rsidRPr="00675CC1" w:rsidRDefault="000A5AC4" w:rsidP="005C70E8">
            <w:pPr>
              <w:spacing w:before="60" w:after="60"/>
              <w:rPr>
                <w:rFonts w:cstheme="minorHAnsi"/>
                <w:b/>
              </w:rPr>
            </w:pPr>
            <w:r>
              <w:rPr>
                <w:rFonts w:cstheme="minorHAnsi"/>
                <w:b/>
              </w:rPr>
              <w:lastRenderedPageBreak/>
              <w:t>Priorita 1 Adaptabilný a prístupný trh práce</w:t>
            </w:r>
          </w:p>
        </w:tc>
        <w:tc>
          <w:tcPr>
            <w:tcW w:w="920" w:type="dxa"/>
          </w:tcPr>
          <w:p w:rsidR="000A5AC4" w:rsidRDefault="000A5AC4" w:rsidP="005C70E8">
            <w:r>
              <w:t>x</w:t>
            </w:r>
          </w:p>
        </w:tc>
        <w:tc>
          <w:tcPr>
            <w:tcW w:w="868" w:type="dxa"/>
          </w:tcPr>
          <w:p w:rsidR="000A5AC4" w:rsidRDefault="000A5AC4" w:rsidP="005C70E8">
            <w:r>
              <w:t>x</w:t>
            </w:r>
          </w:p>
        </w:tc>
        <w:tc>
          <w:tcPr>
            <w:tcW w:w="811" w:type="dxa"/>
          </w:tcPr>
          <w:p w:rsidR="000A5AC4" w:rsidRDefault="00100DEF" w:rsidP="005C70E8">
            <w:r>
              <w:t>x</w:t>
            </w:r>
          </w:p>
        </w:tc>
        <w:tc>
          <w:tcPr>
            <w:tcW w:w="954" w:type="dxa"/>
          </w:tcPr>
          <w:p w:rsidR="000A5AC4" w:rsidRDefault="000A5AC4" w:rsidP="005C70E8"/>
        </w:tc>
        <w:tc>
          <w:tcPr>
            <w:tcW w:w="833" w:type="dxa"/>
          </w:tcPr>
          <w:p w:rsidR="000A5AC4" w:rsidRDefault="000A5AC4" w:rsidP="005C70E8">
            <w:r>
              <w:t>x</w:t>
            </w:r>
          </w:p>
        </w:tc>
        <w:tc>
          <w:tcPr>
            <w:tcW w:w="1230" w:type="dxa"/>
          </w:tcPr>
          <w:p w:rsidR="000A5AC4" w:rsidRDefault="000A5AC4" w:rsidP="005C70E8"/>
        </w:tc>
        <w:tc>
          <w:tcPr>
            <w:tcW w:w="1247" w:type="dxa"/>
          </w:tcPr>
          <w:p w:rsidR="000A5AC4" w:rsidRPr="00632F48" w:rsidRDefault="000A5AC4" w:rsidP="005C70E8">
            <w:pPr>
              <w:rPr>
                <w:sz w:val="20"/>
                <w:szCs w:val="20"/>
              </w:rPr>
            </w:pPr>
            <w:r w:rsidRPr="00632F48">
              <w:rPr>
                <w:sz w:val="20"/>
                <w:szCs w:val="20"/>
              </w:rPr>
              <w:t>Erasmus+</w:t>
            </w:r>
          </w:p>
          <w:p w:rsidR="000A5AC4" w:rsidRDefault="000A5AC4" w:rsidP="005C70E8">
            <w:pPr>
              <w:rPr>
                <w:sz w:val="20"/>
                <w:szCs w:val="20"/>
              </w:rPr>
            </w:pPr>
          </w:p>
          <w:p w:rsidR="000A5AC4" w:rsidRPr="00632F48" w:rsidRDefault="000A5AC4" w:rsidP="005C70E8">
            <w:pPr>
              <w:rPr>
                <w:sz w:val="20"/>
                <w:szCs w:val="20"/>
              </w:rPr>
            </w:pPr>
            <w:r w:rsidRPr="00632F48">
              <w:rPr>
                <w:sz w:val="20"/>
                <w:szCs w:val="20"/>
              </w:rPr>
              <w:t>EU4Health</w:t>
            </w:r>
          </w:p>
        </w:tc>
        <w:tc>
          <w:tcPr>
            <w:tcW w:w="1118" w:type="dxa"/>
          </w:tcPr>
          <w:p w:rsidR="000A5AC4" w:rsidRDefault="000A5AC4" w:rsidP="005C70E8"/>
        </w:tc>
        <w:tc>
          <w:tcPr>
            <w:tcW w:w="955" w:type="dxa"/>
          </w:tcPr>
          <w:p w:rsidR="000A5AC4" w:rsidRDefault="000A5AC4" w:rsidP="005C70E8">
            <w:r>
              <w:t>x</w:t>
            </w:r>
          </w:p>
        </w:tc>
        <w:tc>
          <w:tcPr>
            <w:tcW w:w="1088" w:type="dxa"/>
          </w:tcPr>
          <w:p w:rsidR="000A5AC4" w:rsidRDefault="000A5AC4" w:rsidP="005C70E8"/>
        </w:tc>
        <w:tc>
          <w:tcPr>
            <w:tcW w:w="921" w:type="dxa"/>
          </w:tcPr>
          <w:p w:rsidR="000A5AC4" w:rsidRDefault="000A5AC4" w:rsidP="005C70E8"/>
        </w:tc>
      </w:tr>
      <w:tr w:rsidR="000A5AC4" w:rsidTr="000A5AC4">
        <w:tc>
          <w:tcPr>
            <w:tcW w:w="3049" w:type="dxa"/>
            <w:shd w:val="clear" w:color="auto" w:fill="FBE4D5" w:themeFill="accent2" w:themeFillTint="33"/>
          </w:tcPr>
          <w:p w:rsidR="000A5AC4" w:rsidRPr="00C95F50" w:rsidRDefault="000A5AC4" w:rsidP="005C70E8">
            <w:pPr>
              <w:spacing w:before="60" w:after="60"/>
              <w:rPr>
                <w:rFonts w:cstheme="minorHAnsi"/>
                <w:b/>
              </w:rPr>
            </w:pPr>
            <w:r w:rsidRPr="00C95F50">
              <w:rPr>
                <w:rFonts w:cstheme="minorHAnsi"/>
                <w:b/>
              </w:rPr>
              <w:t>Priorita 2 Kvalitné inkluzívne vzdelávanie</w:t>
            </w:r>
          </w:p>
        </w:tc>
        <w:tc>
          <w:tcPr>
            <w:tcW w:w="920" w:type="dxa"/>
          </w:tcPr>
          <w:p w:rsidR="000A5AC4" w:rsidRDefault="000A5AC4" w:rsidP="005C70E8">
            <w:r>
              <w:t>x</w:t>
            </w:r>
          </w:p>
        </w:tc>
        <w:tc>
          <w:tcPr>
            <w:tcW w:w="868" w:type="dxa"/>
          </w:tcPr>
          <w:p w:rsidR="000A5AC4" w:rsidRDefault="000A5AC4" w:rsidP="005C70E8">
            <w:r>
              <w:t>x</w:t>
            </w:r>
          </w:p>
        </w:tc>
        <w:tc>
          <w:tcPr>
            <w:tcW w:w="811" w:type="dxa"/>
          </w:tcPr>
          <w:p w:rsidR="000A5AC4" w:rsidRDefault="00100DEF" w:rsidP="005C70E8">
            <w:r>
              <w:t>x</w:t>
            </w:r>
          </w:p>
        </w:tc>
        <w:tc>
          <w:tcPr>
            <w:tcW w:w="954" w:type="dxa"/>
          </w:tcPr>
          <w:p w:rsidR="000A5AC4" w:rsidRDefault="000A5AC4" w:rsidP="005C70E8"/>
        </w:tc>
        <w:tc>
          <w:tcPr>
            <w:tcW w:w="833" w:type="dxa"/>
          </w:tcPr>
          <w:p w:rsidR="000A5AC4" w:rsidRDefault="000A5AC4" w:rsidP="005C70E8">
            <w:r>
              <w:t>x</w:t>
            </w:r>
          </w:p>
        </w:tc>
        <w:tc>
          <w:tcPr>
            <w:tcW w:w="1230" w:type="dxa"/>
          </w:tcPr>
          <w:p w:rsidR="000A5AC4" w:rsidRDefault="000A5AC4" w:rsidP="005C70E8"/>
        </w:tc>
        <w:tc>
          <w:tcPr>
            <w:tcW w:w="1247" w:type="dxa"/>
          </w:tcPr>
          <w:p w:rsidR="000A5AC4" w:rsidRPr="00632F48" w:rsidRDefault="000A5AC4" w:rsidP="005C70E8">
            <w:pPr>
              <w:rPr>
                <w:sz w:val="20"/>
                <w:szCs w:val="20"/>
              </w:rPr>
            </w:pPr>
            <w:r w:rsidRPr="00632F48">
              <w:rPr>
                <w:sz w:val="20"/>
                <w:szCs w:val="20"/>
              </w:rPr>
              <w:t>Erasmus+</w:t>
            </w:r>
          </w:p>
        </w:tc>
        <w:tc>
          <w:tcPr>
            <w:tcW w:w="1118" w:type="dxa"/>
          </w:tcPr>
          <w:p w:rsidR="000A5AC4" w:rsidRDefault="000A5AC4" w:rsidP="005C70E8"/>
        </w:tc>
        <w:tc>
          <w:tcPr>
            <w:tcW w:w="955" w:type="dxa"/>
          </w:tcPr>
          <w:p w:rsidR="000A5AC4" w:rsidRDefault="000A5AC4" w:rsidP="005C70E8"/>
        </w:tc>
        <w:tc>
          <w:tcPr>
            <w:tcW w:w="1088" w:type="dxa"/>
          </w:tcPr>
          <w:p w:rsidR="000A5AC4" w:rsidRDefault="000A5AC4" w:rsidP="005C70E8">
            <w:r>
              <w:t>Catching-up</w:t>
            </w:r>
            <w:r w:rsidR="00EF0988">
              <w:t xml:space="preserve"> Regions</w:t>
            </w:r>
          </w:p>
        </w:tc>
        <w:tc>
          <w:tcPr>
            <w:tcW w:w="921" w:type="dxa"/>
          </w:tcPr>
          <w:p w:rsidR="000A5AC4" w:rsidRDefault="000A5AC4" w:rsidP="005C70E8"/>
        </w:tc>
      </w:tr>
      <w:tr w:rsidR="000A5AC4" w:rsidTr="000A5AC4">
        <w:tc>
          <w:tcPr>
            <w:tcW w:w="3049" w:type="dxa"/>
            <w:shd w:val="clear" w:color="auto" w:fill="FBE4D5" w:themeFill="accent2" w:themeFillTint="33"/>
          </w:tcPr>
          <w:p w:rsidR="000A5AC4" w:rsidRPr="00C95F50" w:rsidRDefault="000A5AC4" w:rsidP="005C70E8">
            <w:pPr>
              <w:spacing w:before="60" w:after="60"/>
              <w:rPr>
                <w:rFonts w:cstheme="minorHAnsi"/>
                <w:b/>
              </w:rPr>
            </w:pPr>
            <w:r w:rsidRPr="00C95F50">
              <w:rPr>
                <w:rFonts w:cstheme="minorHAnsi"/>
                <w:b/>
              </w:rPr>
              <w:t>Priorita 3 Zručnosti pre lepšiu adaptabilitu a inklúziu</w:t>
            </w:r>
          </w:p>
        </w:tc>
        <w:tc>
          <w:tcPr>
            <w:tcW w:w="920" w:type="dxa"/>
          </w:tcPr>
          <w:p w:rsidR="000A5AC4" w:rsidRDefault="000A5AC4" w:rsidP="005C70E8">
            <w:r>
              <w:t>x</w:t>
            </w:r>
          </w:p>
        </w:tc>
        <w:tc>
          <w:tcPr>
            <w:tcW w:w="868" w:type="dxa"/>
          </w:tcPr>
          <w:p w:rsidR="000A5AC4" w:rsidRDefault="000A5AC4" w:rsidP="005C70E8">
            <w:r>
              <w:t>x</w:t>
            </w:r>
          </w:p>
        </w:tc>
        <w:tc>
          <w:tcPr>
            <w:tcW w:w="811" w:type="dxa"/>
          </w:tcPr>
          <w:p w:rsidR="000A5AC4" w:rsidRDefault="000A5AC4" w:rsidP="005C70E8">
            <w:r>
              <w:t>x</w:t>
            </w:r>
          </w:p>
        </w:tc>
        <w:tc>
          <w:tcPr>
            <w:tcW w:w="954" w:type="dxa"/>
          </w:tcPr>
          <w:p w:rsidR="000A5AC4" w:rsidRDefault="000A5AC4" w:rsidP="005C70E8"/>
        </w:tc>
        <w:tc>
          <w:tcPr>
            <w:tcW w:w="833" w:type="dxa"/>
          </w:tcPr>
          <w:p w:rsidR="000A5AC4" w:rsidRDefault="000A5AC4" w:rsidP="005C70E8"/>
        </w:tc>
        <w:tc>
          <w:tcPr>
            <w:tcW w:w="1230" w:type="dxa"/>
          </w:tcPr>
          <w:p w:rsidR="000A5AC4" w:rsidRDefault="000A5AC4" w:rsidP="005C70E8"/>
        </w:tc>
        <w:tc>
          <w:tcPr>
            <w:tcW w:w="1247" w:type="dxa"/>
          </w:tcPr>
          <w:p w:rsidR="000A5AC4" w:rsidRDefault="000A5AC4" w:rsidP="005C70E8">
            <w:pPr>
              <w:rPr>
                <w:sz w:val="20"/>
                <w:szCs w:val="20"/>
              </w:rPr>
            </w:pPr>
            <w:r w:rsidRPr="00632F48">
              <w:rPr>
                <w:sz w:val="20"/>
                <w:szCs w:val="20"/>
              </w:rPr>
              <w:t>EU4Health</w:t>
            </w:r>
          </w:p>
          <w:p w:rsidR="000A5AC4" w:rsidRDefault="000A5AC4" w:rsidP="005C70E8">
            <w:pPr>
              <w:rPr>
                <w:sz w:val="20"/>
                <w:szCs w:val="20"/>
              </w:rPr>
            </w:pPr>
          </w:p>
          <w:p w:rsidR="000A5AC4" w:rsidRPr="00632F48" w:rsidRDefault="000A5AC4" w:rsidP="005C70E8">
            <w:pPr>
              <w:rPr>
                <w:sz w:val="20"/>
                <w:szCs w:val="20"/>
              </w:rPr>
            </w:pPr>
            <w:r w:rsidRPr="00632F48">
              <w:rPr>
                <w:sz w:val="20"/>
                <w:szCs w:val="20"/>
              </w:rPr>
              <w:t>Erasmus+</w:t>
            </w:r>
          </w:p>
        </w:tc>
        <w:tc>
          <w:tcPr>
            <w:tcW w:w="1118" w:type="dxa"/>
          </w:tcPr>
          <w:p w:rsidR="000A5AC4" w:rsidRDefault="000A5AC4" w:rsidP="005C70E8"/>
        </w:tc>
        <w:tc>
          <w:tcPr>
            <w:tcW w:w="955" w:type="dxa"/>
          </w:tcPr>
          <w:p w:rsidR="000A5AC4" w:rsidRDefault="000A5AC4" w:rsidP="005C70E8"/>
        </w:tc>
        <w:tc>
          <w:tcPr>
            <w:tcW w:w="1088" w:type="dxa"/>
          </w:tcPr>
          <w:p w:rsidR="000A5AC4" w:rsidRDefault="000A5AC4" w:rsidP="005C70E8"/>
        </w:tc>
        <w:tc>
          <w:tcPr>
            <w:tcW w:w="921" w:type="dxa"/>
          </w:tcPr>
          <w:p w:rsidR="000A5AC4" w:rsidRDefault="000A5AC4" w:rsidP="005C70E8"/>
        </w:tc>
      </w:tr>
      <w:tr w:rsidR="000A5AC4" w:rsidTr="000A5AC4">
        <w:tc>
          <w:tcPr>
            <w:tcW w:w="3049" w:type="dxa"/>
            <w:shd w:val="clear" w:color="auto" w:fill="FBE4D5" w:themeFill="accent2" w:themeFillTint="33"/>
          </w:tcPr>
          <w:p w:rsidR="000A5AC4" w:rsidRPr="00C95F50" w:rsidRDefault="000A5AC4" w:rsidP="005C70E8">
            <w:pPr>
              <w:spacing w:before="60" w:after="60"/>
              <w:rPr>
                <w:rFonts w:cstheme="minorHAnsi"/>
                <w:b/>
              </w:rPr>
            </w:pPr>
            <w:r>
              <w:rPr>
                <w:rFonts w:cstheme="minorHAnsi"/>
                <w:b/>
              </w:rPr>
              <w:t>Priorita 4 Záruka pre mladých</w:t>
            </w:r>
          </w:p>
        </w:tc>
        <w:tc>
          <w:tcPr>
            <w:tcW w:w="920" w:type="dxa"/>
          </w:tcPr>
          <w:p w:rsidR="000A5AC4" w:rsidRDefault="000A5AC4" w:rsidP="005C70E8">
            <w:r>
              <w:t>x</w:t>
            </w:r>
          </w:p>
        </w:tc>
        <w:tc>
          <w:tcPr>
            <w:tcW w:w="868" w:type="dxa"/>
          </w:tcPr>
          <w:p w:rsidR="000A5AC4" w:rsidRDefault="000A5AC4" w:rsidP="005C70E8">
            <w:r>
              <w:t>x</w:t>
            </w:r>
          </w:p>
        </w:tc>
        <w:tc>
          <w:tcPr>
            <w:tcW w:w="811" w:type="dxa"/>
          </w:tcPr>
          <w:p w:rsidR="000A5AC4" w:rsidRDefault="000A5AC4" w:rsidP="005C70E8"/>
        </w:tc>
        <w:tc>
          <w:tcPr>
            <w:tcW w:w="954" w:type="dxa"/>
          </w:tcPr>
          <w:p w:rsidR="000A5AC4" w:rsidRDefault="000A5AC4" w:rsidP="005C70E8"/>
        </w:tc>
        <w:tc>
          <w:tcPr>
            <w:tcW w:w="833" w:type="dxa"/>
          </w:tcPr>
          <w:p w:rsidR="000A5AC4" w:rsidRDefault="000A5AC4" w:rsidP="005C70E8"/>
        </w:tc>
        <w:tc>
          <w:tcPr>
            <w:tcW w:w="1230" w:type="dxa"/>
          </w:tcPr>
          <w:p w:rsidR="000A5AC4" w:rsidRDefault="000A5AC4" w:rsidP="005C70E8"/>
        </w:tc>
        <w:tc>
          <w:tcPr>
            <w:tcW w:w="1247" w:type="dxa"/>
          </w:tcPr>
          <w:p w:rsidR="000A5AC4" w:rsidRPr="00632F48" w:rsidRDefault="000A5AC4" w:rsidP="005C70E8">
            <w:pPr>
              <w:rPr>
                <w:sz w:val="20"/>
                <w:szCs w:val="20"/>
              </w:rPr>
            </w:pPr>
            <w:r w:rsidRPr="00632F48">
              <w:rPr>
                <w:sz w:val="20"/>
                <w:szCs w:val="20"/>
              </w:rPr>
              <w:t>Erasmus+</w:t>
            </w:r>
          </w:p>
        </w:tc>
        <w:tc>
          <w:tcPr>
            <w:tcW w:w="1118" w:type="dxa"/>
          </w:tcPr>
          <w:p w:rsidR="000A5AC4" w:rsidRDefault="000A5AC4" w:rsidP="005C70E8"/>
        </w:tc>
        <w:tc>
          <w:tcPr>
            <w:tcW w:w="955" w:type="dxa"/>
          </w:tcPr>
          <w:p w:rsidR="000A5AC4" w:rsidRDefault="000A5AC4" w:rsidP="005C70E8"/>
        </w:tc>
        <w:tc>
          <w:tcPr>
            <w:tcW w:w="1088" w:type="dxa"/>
          </w:tcPr>
          <w:p w:rsidR="000A5AC4" w:rsidRDefault="000A5AC4" w:rsidP="005C70E8"/>
        </w:tc>
        <w:tc>
          <w:tcPr>
            <w:tcW w:w="921" w:type="dxa"/>
          </w:tcPr>
          <w:p w:rsidR="000A5AC4" w:rsidRDefault="000A5AC4" w:rsidP="005C70E8"/>
        </w:tc>
      </w:tr>
      <w:tr w:rsidR="000A5AC4" w:rsidTr="000A5AC4">
        <w:tc>
          <w:tcPr>
            <w:tcW w:w="3049" w:type="dxa"/>
            <w:shd w:val="clear" w:color="auto" w:fill="FBE4D5" w:themeFill="accent2" w:themeFillTint="33"/>
          </w:tcPr>
          <w:p w:rsidR="000A5AC4" w:rsidRPr="00035824" w:rsidRDefault="000A5AC4" w:rsidP="005C70E8">
            <w:pPr>
              <w:spacing w:before="60" w:after="60"/>
              <w:rPr>
                <w:rFonts w:cstheme="minorHAnsi"/>
              </w:rPr>
            </w:pPr>
            <w:r w:rsidRPr="00D65D21">
              <w:rPr>
                <w:rFonts w:cstheme="minorHAnsi"/>
                <w:b/>
              </w:rPr>
              <w:t>Priorita 5 Aktívne začlenenie a dostupné služby</w:t>
            </w:r>
            <w:r>
              <w:rPr>
                <w:rFonts w:cstheme="minorHAnsi"/>
                <w:b/>
              </w:rPr>
              <w:t xml:space="preserve"> </w:t>
            </w:r>
            <w:r>
              <w:rPr>
                <w:rFonts w:cstheme="minorHAnsi"/>
              </w:rPr>
              <w:t>(oblasť zdravia, kultúry a sociálna oblasť)</w:t>
            </w:r>
          </w:p>
        </w:tc>
        <w:tc>
          <w:tcPr>
            <w:tcW w:w="920" w:type="dxa"/>
          </w:tcPr>
          <w:p w:rsidR="000A5AC4" w:rsidRDefault="000A5AC4" w:rsidP="005C70E8">
            <w:r>
              <w:t>x</w:t>
            </w:r>
          </w:p>
        </w:tc>
        <w:tc>
          <w:tcPr>
            <w:tcW w:w="868" w:type="dxa"/>
          </w:tcPr>
          <w:p w:rsidR="000A5AC4" w:rsidRDefault="000A5AC4" w:rsidP="005C70E8">
            <w:r>
              <w:t>x</w:t>
            </w:r>
          </w:p>
        </w:tc>
        <w:tc>
          <w:tcPr>
            <w:tcW w:w="811" w:type="dxa"/>
          </w:tcPr>
          <w:p w:rsidR="000A5AC4" w:rsidRDefault="000A5AC4" w:rsidP="005C70E8"/>
        </w:tc>
        <w:tc>
          <w:tcPr>
            <w:tcW w:w="954" w:type="dxa"/>
          </w:tcPr>
          <w:p w:rsidR="000A5AC4" w:rsidRDefault="000A5AC4" w:rsidP="005C70E8"/>
        </w:tc>
        <w:tc>
          <w:tcPr>
            <w:tcW w:w="833" w:type="dxa"/>
          </w:tcPr>
          <w:p w:rsidR="000A5AC4" w:rsidRDefault="000A5AC4" w:rsidP="005C70E8">
            <w:r>
              <w:t>x</w:t>
            </w:r>
          </w:p>
        </w:tc>
        <w:tc>
          <w:tcPr>
            <w:tcW w:w="1230" w:type="dxa"/>
          </w:tcPr>
          <w:p w:rsidR="000A5AC4" w:rsidRDefault="000A5AC4" w:rsidP="005C70E8"/>
        </w:tc>
        <w:tc>
          <w:tcPr>
            <w:tcW w:w="1247" w:type="dxa"/>
          </w:tcPr>
          <w:p w:rsidR="000A5AC4" w:rsidRPr="00632F48" w:rsidRDefault="000A5AC4" w:rsidP="005C70E8">
            <w:pPr>
              <w:rPr>
                <w:sz w:val="20"/>
                <w:szCs w:val="20"/>
              </w:rPr>
            </w:pPr>
            <w:r w:rsidRPr="00632F48">
              <w:rPr>
                <w:sz w:val="20"/>
                <w:szCs w:val="20"/>
              </w:rPr>
              <w:t>Fond pre vnútornú bezpečnosť</w:t>
            </w:r>
          </w:p>
          <w:p w:rsidR="000A5AC4" w:rsidRPr="00632F48" w:rsidRDefault="000A5AC4" w:rsidP="005C70E8">
            <w:pPr>
              <w:rPr>
                <w:sz w:val="20"/>
                <w:szCs w:val="20"/>
              </w:rPr>
            </w:pPr>
          </w:p>
          <w:p w:rsidR="000A5AC4" w:rsidRPr="00632F48" w:rsidRDefault="000A5AC4" w:rsidP="005C70E8">
            <w:pPr>
              <w:rPr>
                <w:sz w:val="20"/>
                <w:szCs w:val="20"/>
              </w:rPr>
            </w:pPr>
            <w:r w:rsidRPr="00632F48">
              <w:rPr>
                <w:sz w:val="20"/>
                <w:szCs w:val="20"/>
              </w:rPr>
              <w:t>EU4Health</w:t>
            </w:r>
          </w:p>
          <w:p w:rsidR="000A5AC4" w:rsidRPr="00632F48" w:rsidRDefault="000A5AC4" w:rsidP="005C70E8">
            <w:pPr>
              <w:rPr>
                <w:sz w:val="20"/>
                <w:szCs w:val="20"/>
              </w:rPr>
            </w:pPr>
          </w:p>
          <w:p w:rsidR="000A5AC4" w:rsidRPr="00632F48" w:rsidRDefault="000A5AC4" w:rsidP="005C70E8">
            <w:pPr>
              <w:rPr>
                <w:sz w:val="20"/>
                <w:szCs w:val="20"/>
              </w:rPr>
            </w:pPr>
            <w:r w:rsidRPr="00632F48">
              <w:rPr>
                <w:sz w:val="20"/>
                <w:szCs w:val="20"/>
              </w:rPr>
              <w:t>Fond pre azyl, migráciu a integráciu</w:t>
            </w:r>
          </w:p>
        </w:tc>
        <w:tc>
          <w:tcPr>
            <w:tcW w:w="1118" w:type="dxa"/>
          </w:tcPr>
          <w:p w:rsidR="000A5AC4" w:rsidRDefault="000A5AC4" w:rsidP="005C70E8"/>
        </w:tc>
        <w:tc>
          <w:tcPr>
            <w:tcW w:w="955" w:type="dxa"/>
          </w:tcPr>
          <w:p w:rsidR="000A5AC4" w:rsidRDefault="000A5AC4" w:rsidP="005C70E8"/>
        </w:tc>
        <w:tc>
          <w:tcPr>
            <w:tcW w:w="1088" w:type="dxa"/>
          </w:tcPr>
          <w:p w:rsidR="000A5AC4" w:rsidRDefault="00100DEF" w:rsidP="005C70E8">
            <w:r>
              <w:t>Catching-up Regions</w:t>
            </w:r>
          </w:p>
        </w:tc>
        <w:tc>
          <w:tcPr>
            <w:tcW w:w="921" w:type="dxa"/>
          </w:tcPr>
          <w:p w:rsidR="000A5AC4" w:rsidRDefault="000A5AC4" w:rsidP="005C70E8"/>
        </w:tc>
      </w:tr>
      <w:tr w:rsidR="000A5AC4" w:rsidTr="000A5AC4">
        <w:tc>
          <w:tcPr>
            <w:tcW w:w="3049" w:type="dxa"/>
            <w:shd w:val="clear" w:color="auto" w:fill="FBE4D5" w:themeFill="accent2" w:themeFillTint="33"/>
          </w:tcPr>
          <w:p w:rsidR="000A5AC4" w:rsidRPr="00D65D21" w:rsidRDefault="000A5AC4" w:rsidP="005C70E8">
            <w:pPr>
              <w:spacing w:before="60" w:after="60"/>
              <w:rPr>
                <w:rFonts w:cstheme="minorHAnsi"/>
                <w:b/>
              </w:rPr>
            </w:pPr>
            <w:r w:rsidRPr="00D65D21">
              <w:rPr>
                <w:rFonts w:cstheme="minorHAnsi"/>
                <w:b/>
              </w:rPr>
              <w:t>Priorita 6 Aktívne začlenenie rómskych komunít</w:t>
            </w:r>
          </w:p>
        </w:tc>
        <w:tc>
          <w:tcPr>
            <w:tcW w:w="920" w:type="dxa"/>
          </w:tcPr>
          <w:p w:rsidR="000A5AC4" w:rsidRDefault="000A5AC4" w:rsidP="005C70E8">
            <w:r>
              <w:t>x</w:t>
            </w:r>
          </w:p>
        </w:tc>
        <w:tc>
          <w:tcPr>
            <w:tcW w:w="868" w:type="dxa"/>
          </w:tcPr>
          <w:p w:rsidR="000A5AC4" w:rsidRDefault="000A5AC4" w:rsidP="005C70E8">
            <w:r>
              <w:t>x</w:t>
            </w:r>
          </w:p>
        </w:tc>
        <w:tc>
          <w:tcPr>
            <w:tcW w:w="811" w:type="dxa"/>
          </w:tcPr>
          <w:p w:rsidR="000A5AC4" w:rsidRDefault="000A5AC4" w:rsidP="005C70E8"/>
        </w:tc>
        <w:tc>
          <w:tcPr>
            <w:tcW w:w="954" w:type="dxa"/>
          </w:tcPr>
          <w:p w:rsidR="000A5AC4" w:rsidRDefault="000A5AC4" w:rsidP="005C70E8"/>
        </w:tc>
        <w:tc>
          <w:tcPr>
            <w:tcW w:w="833" w:type="dxa"/>
          </w:tcPr>
          <w:p w:rsidR="000A5AC4" w:rsidRDefault="000A5AC4" w:rsidP="005C70E8">
            <w:r>
              <w:t>x</w:t>
            </w:r>
          </w:p>
        </w:tc>
        <w:tc>
          <w:tcPr>
            <w:tcW w:w="1230" w:type="dxa"/>
          </w:tcPr>
          <w:p w:rsidR="000A5AC4" w:rsidRDefault="000A5AC4" w:rsidP="005C70E8"/>
        </w:tc>
        <w:tc>
          <w:tcPr>
            <w:tcW w:w="1247" w:type="dxa"/>
          </w:tcPr>
          <w:p w:rsidR="000A5AC4" w:rsidRPr="00632F48" w:rsidRDefault="000A5AC4" w:rsidP="005C70E8">
            <w:pPr>
              <w:rPr>
                <w:sz w:val="20"/>
                <w:szCs w:val="20"/>
              </w:rPr>
            </w:pPr>
            <w:r w:rsidRPr="00632F48">
              <w:rPr>
                <w:sz w:val="20"/>
                <w:szCs w:val="20"/>
              </w:rPr>
              <w:t>EU4Health</w:t>
            </w:r>
          </w:p>
          <w:p w:rsidR="000A5AC4" w:rsidRDefault="000A5AC4" w:rsidP="005C70E8">
            <w:pPr>
              <w:rPr>
                <w:sz w:val="20"/>
                <w:szCs w:val="20"/>
              </w:rPr>
            </w:pPr>
            <w:r w:rsidRPr="00632F48">
              <w:rPr>
                <w:sz w:val="20"/>
                <w:szCs w:val="20"/>
              </w:rPr>
              <w:t>Erasmus+</w:t>
            </w:r>
          </w:p>
          <w:p w:rsidR="000A5AC4" w:rsidRPr="00632F48" w:rsidRDefault="000A5AC4" w:rsidP="005C70E8">
            <w:pPr>
              <w:rPr>
                <w:sz w:val="20"/>
                <w:szCs w:val="20"/>
              </w:rPr>
            </w:pPr>
          </w:p>
        </w:tc>
        <w:tc>
          <w:tcPr>
            <w:tcW w:w="1118" w:type="dxa"/>
          </w:tcPr>
          <w:p w:rsidR="000A5AC4" w:rsidRDefault="000A5AC4" w:rsidP="005C70E8"/>
        </w:tc>
        <w:tc>
          <w:tcPr>
            <w:tcW w:w="955" w:type="dxa"/>
          </w:tcPr>
          <w:p w:rsidR="000A5AC4" w:rsidRDefault="000A5AC4" w:rsidP="005C70E8"/>
        </w:tc>
        <w:tc>
          <w:tcPr>
            <w:tcW w:w="1088" w:type="dxa"/>
          </w:tcPr>
          <w:p w:rsidR="000A5AC4" w:rsidRDefault="00100DEF" w:rsidP="005C70E8">
            <w:r>
              <w:t>Catching-up Regions</w:t>
            </w:r>
          </w:p>
        </w:tc>
        <w:tc>
          <w:tcPr>
            <w:tcW w:w="921" w:type="dxa"/>
          </w:tcPr>
          <w:p w:rsidR="000A5AC4" w:rsidRDefault="000A5AC4" w:rsidP="005C70E8"/>
        </w:tc>
      </w:tr>
      <w:tr w:rsidR="000A5AC4" w:rsidTr="000A5AC4">
        <w:tc>
          <w:tcPr>
            <w:tcW w:w="3049" w:type="dxa"/>
            <w:shd w:val="clear" w:color="auto" w:fill="FBE4D5" w:themeFill="accent2" w:themeFillTint="33"/>
          </w:tcPr>
          <w:p w:rsidR="000A5AC4" w:rsidRPr="00D65D21" w:rsidRDefault="000A5AC4" w:rsidP="005C70E8">
            <w:pPr>
              <w:spacing w:before="60" w:after="60"/>
              <w:rPr>
                <w:rFonts w:cstheme="minorHAnsi"/>
                <w:b/>
              </w:rPr>
            </w:pPr>
            <w:r w:rsidRPr="00D65D21">
              <w:rPr>
                <w:rFonts w:cstheme="minorHAnsi"/>
                <w:b/>
              </w:rPr>
              <w:t>Priorita 7 Sociálne inovácie a experimenty</w:t>
            </w:r>
          </w:p>
        </w:tc>
        <w:tc>
          <w:tcPr>
            <w:tcW w:w="920" w:type="dxa"/>
          </w:tcPr>
          <w:p w:rsidR="000A5AC4" w:rsidRDefault="000A5AC4" w:rsidP="005C70E8">
            <w:r>
              <w:t>x</w:t>
            </w:r>
          </w:p>
        </w:tc>
        <w:tc>
          <w:tcPr>
            <w:tcW w:w="868" w:type="dxa"/>
          </w:tcPr>
          <w:p w:rsidR="000A5AC4" w:rsidRDefault="000A5AC4" w:rsidP="005C70E8">
            <w:r>
              <w:t>x</w:t>
            </w:r>
          </w:p>
        </w:tc>
        <w:tc>
          <w:tcPr>
            <w:tcW w:w="811" w:type="dxa"/>
          </w:tcPr>
          <w:p w:rsidR="000A5AC4" w:rsidRDefault="000A5AC4" w:rsidP="005C70E8"/>
        </w:tc>
        <w:tc>
          <w:tcPr>
            <w:tcW w:w="954" w:type="dxa"/>
          </w:tcPr>
          <w:p w:rsidR="000A5AC4" w:rsidRDefault="00A20198" w:rsidP="005C70E8">
            <w:r>
              <w:t>x</w:t>
            </w:r>
          </w:p>
        </w:tc>
        <w:tc>
          <w:tcPr>
            <w:tcW w:w="833" w:type="dxa"/>
          </w:tcPr>
          <w:p w:rsidR="000A5AC4" w:rsidRDefault="000A5AC4" w:rsidP="005C70E8">
            <w:r>
              <w:t>x</w:t>
            </w:r>
          </w:p>
        </w:tc>
        <w:tc>
          <w:tcPr>
            <w:tcW w:w="1230" w:type="dxa"/>
          </w:tcPr>
          <w:p w:rsidR="000A5AC4" w:rsidRDefault="000A5AC4" w:rsidP="005C70E8"/>
        </w:tc>
        <w:tc>
          <w:tcPr>
            <w:tcW w:w="1247" w:type="dxa"/>
          </w:tcPr>
          <w:p w:rsidR="000A5AC4" w:rsidRPr="00632F48" w:rsidRDefault="000A5AC4" w:rsidP="005C70E8">
            <w:pPr>
              <w:rPr>
                <w:sz w:val="20"/>
                <w:szCs w:val="20"/>
              </w:rPr>
            </w:pPr>
            <w:r w:rsidRPr="00632F48">
              <w:rPr>
                <w:sz w:val="20"/>
                <w:szCs w:val="20"/>
              </w:rPr>
              <w:t>Erasmus+</w:t>
            </w:r>
          </w:p>
          <w:p w:rsidR="000A5AC4" w:rsidRDefault="000A5AC4" w:rsidP="005C70E8">
            <w:pPr>
              <w:rPr>
                <w:sz w:val="20"/>
                <w:szCs w:val="20"/>
              </w:rPr>
            </w:pPr>
          </w:p>
          <w:p w:rsidR="000A5AC4" w:rsidRPr="00632F48" w:rsidRDefault="000A5AC4" w:rsidP="005C70E8">
            <w:pPr>
              <w:rPr>
                <w:sz w:val="20"/>
                <w:szCs w:val="20"/>
              </w:rPr>
            </w:pPr>
            <w:r w:rsidRPr="00632F48">
              <w:rPr>
                <w:sz w:val="20"/>
                <w:szCs w:val="20"/>
              </w:rPr>
              <w:t>Fond pre azyl, migráciu a integráciu</w:t>
            </w:r>
          </w:p>
        </w:tc>
        <w:tc>
          <w:tcPr>
            <w:tcW w:w="1118" w:type="dxa"/>
          </w:tcPr>
          <w:p w:rsidR="000A5AC4" w:rsidRDefault="000A5AC4" w:rsidP="005C70E8">
            <w:r>
              <w:t>x</w:t>
            </w:r>
          </w:p>
        </w:tc>
        <w:tc>
          <w:tcPr>
            <w:tcW w:w="955" w:type="dxa"/>
          </w:tcPr>
          <w:p w:rsidR="000A5AC4" w:rsidRDefault="000A5AC4" w:rsidP="005C70E8"/>
        </w:tc>
        <w:tc>
          <w:tcPr>
            <w:tcW w:w="1088" w:type="dxa"/>
          </w:tcPr>
          <w:p w:rsidR="000A5AC4" w:rsidRDefault="000A5AC4" w:rsidP="005C70E8"/>
        </w:tc>
        <w:tc>
          <w:tcPr>
            <w:tcW w:w="921" w:type="dxa"/>
          </w:tcPr>
          <w:p w:rsidR="000A5AC4" w:rsidRDefault="000A5AC4" w:rsidP="005C70E8"/>
        </w:tc>
      </w:tr>
      <w:tr w:rsidR="000A5AC4" w:rsidTr="000A5AC4">
        <w:tc>
          <w:tcPr>
            <w:tcW w:w="3049" w:type="dxa"/>
            <w:shd w:val="clear" w:color="auto" w:fill="FBE4D5" w:themeFill="accent2" w:themeFillTint="33"/>
          </w:tcPr>
          <w:p w:rsidR="000A5AC4" w:rsidRPr="00D65D21" w:rsidRDefault="000A5AC4" w:rsidP="005C70E8">
            <w:pPr>
              <w:spacing w:before="60" w:after="60"/>
              <w:rPr>
                <w:rFonts w:cstheme="minorHAnsi"/>
                <w:b/>
              </w:rPr>
            </w:pPr>
            <w:r w:rsidRPr="00D65D21">
              <w:rPr>
                <w:rFonts w:cstheme="minorHAnsi"/>
                <w:b/>
              </w:rPr>
              <w:t>Priorita 8 Potravinová a materiálna deprivácia</w:t>
            </w:r>
          </w:p>
        </w:tc>
        <w:tc>
          <w:tcPr>
            <w:tcW w:w="920" w:type="dxa"/>
          </w:tcPr>
          <w:p w:rsidR="000A5AC4" w:rsidRDefault="000A5AC4" w:rsidP="005C70E8">
            <w:r>
              <w:t>x</w:t>
            </w:r>
          </w:p>
        </w:tc>
        <w:tc>
          <w:tcPr>
            <w:tcW w:w="868" w:type="dxa"/>
          </w:tcPr>
          <w:p w:rsidR="000A5AC4" w:rsidRDefault="000A5AC4" w:rsidP="005C70E8">
            <w:r>
              <w:t>x</w:t>
            </w:r>
          </w:p>
        </w:tc>
        <w:tc>
          <w:tcPr>
            <w:tcW w:w="811" w:type="dxa"/>
          </w:tcPr>
          <w:p w:rsidR="000A5AC4" w:rsidRDefault="000A5AC4" w:rsidP="005C70E8"/>
        </w:tc>
        <w:tc>
          <w:tcPr>
            <w:tcW w:w="954" w:type="dxa"/>
          </w:tcPr>
          <w:p w:rsidR="000A5AC4" w:rsidRDefault="000A5AC4" w:rsidP="005C70E8"/>
        </w:tc>
        <w:tc>
          <w:tcPr>
            <w:tcW w:w="833" w:type="dxa"/>
          </w:tcPr>
          <w:p w:rsidR="000A5AC4" w:rsidRDefault="000A5AC4" w:rsidP="005C70E8"/>
        </w:tc>
        <w:tc>
          <w:tcPr>
            <w:tcW w:w="1230" w:type="dxa"/>
          </w:tcPr>
          <w:p w:rsidR="000A5AC4" w:rsidRDefault="000A5AC4" w:rsidP="005C70E8"/>
        </w:tc>
        <w:tc>
          <w:tcPr>
            <w:tcW w:w="1247" w:type="dxa"/>
          </w:tcPr>
          <w:p w:rsidR="000A5AC4" w:rsidRDefault="000A5AC4" w:rsidP="005C70E8"/>
        </w:tc>
        <w:tc>
          <w:tcPr>
            <w:tcW w:w="1118" w:type="dxa"/>
          </w:tcPr>
          <w:p w:rsidR="000A5AC4" w:rsidRDefault="000A5AC4" w:rsidP="005C70E8"/>
        </w:tc>
        <w:tc>
          <w:tcPr>
            <w:tcW w:w="955" w:type="dxa"/>
          </w:tcPr>
          <w:p w:rsidR="000A5AC4" w:rsidRDefault="000A5AC4" w:rsidP="005C70E8"/>
        </w:tc>
        <w:tc>
          <w:tcPr>
            <w:tcW w:w="1088" w:type="dxa"/>
          </w:tcPr>
          <w:p w:rsidR="000A5AC4" w:rsidRDefault="000A5AC4" w:rsidP="005C70E8"/>
        </w:tc>
        <w:tc>
          <w:tcPr>
            <w:tcW w:w="921" w:type="dxa"/>
          </w:tcPr>
          <w:p w:rsidR="000A5AC4" w:rsidRDefault="000A5AC4" w:rsidP="005C70E8">
            <w:r>
              <w:t>x</w:t>
            </w:r>
          </w:p>
        </w:tc>
      </w:tr>
      <w:tr w:rsidR="000A5AC4" w:rsidRPr="007201CD" w:rsidTr="000A5AC4">
        <w:tc>
          <w:tcPr>
            <w:tcW w:w="3049" w:type="dxa"/>
            <w:shd w:val="clear" w:color="auto" w:fill="C45911" w:themeFill="accent2" w:themeFillShade="BF"/>
          </w:tcPr>
          <w:p w:rsidR="000A5AC4" w:rsidRPr="007201CD" w:rsidRDefault="000A5AC4" w:rsidP="007201CD">
            <w:pPr>
              <w:keepNext/>
              <w:rPr>
                <w:b/>
                <w:color w:val="FFFFFF" w:themeColor="background1"/>
              </w:rPr>
            </w:pPr>
            <w:r w:rsidRPr="007201CD">
              <w:rPr>
                <w:b/>
                <w:color w:val="FFFFFF" w:themeColor="background1"/>
              </w:rPr>
              <w:lastRenderedPageBreak/>
              <w:t xml:space="preserve">                                    Fond/nástroj</w:t>
            </w:r>
          </w:p>
          <w:p w:rsidR="000A5AC4" w:rsidRPr="007201CD" w:rsidRDefault="000A5AC4" w:rsidP="007201CD">
            <w:pPr>
              <w:keepNext/>
              <w:rPr>
                <w:color w:val="FFFFFF" w:themeColor="background1"/>
              </w:rPr>
            </w:pPr>
          </w:p>
          <w:p w:rsidR="000A5AC4" w:rsidRPr="007201CD" w:rsidRDefault="000A5AC4" w:rsidP="007201CD">
            <w:pPr>
              <w:keepNext/>
              <w:rPr>
                <w:b/>
                <w:color w:val="FFFFFF" w:themeColor="background1"/>
              </w:rPr>
            </w:pPr>
            <w:r w:rsidRPr="007201CD">
              <w:rPr>
                <w:b/>
                <w:color w:val="FFFFFF" w:themeColor="background1"/>
              </w:rPr>
              <w:t>Programu</w:t>
            </w:r>
          </w:p>
          <w:p w:rsidR="000A5AC4" w:rsidRPr="007201CD" w:rsidRDefault="000A5AC4" w:rsidP="007201CD">
            <w:pPr>
              <w:keepNext/>
              <w:spacing w:before="60" w:after="60"/>
              <w:rPr>
                <w:rFonts w:cstheme="minorHAnsi"/>
                <w:b/>
                <w:color w:val="FFFFFF" w:themeColor="background1"/>
              </w:rPr>
            </w:pPr>
            <w:r w:rsidRPr="007201CD">
              <w:rPr>
                <w:b/>
                <w:color w:val="FFFFFF" w:themeColor="background1"/>
              </w:rPr>
              <w:t>Slovensko</w:t>
            </w:r>
          </w:p>
        </w:tc>
        <w:tc>
          <w:tcPr>
            <w:tcW w:w="920" w:type="dxa"/>
            <w:shd w:val="clear" w:color="auto" w:fill="C45911" w:themeFill="accent2" w:themeFillShade="BF"/>
          </w:tcPr>
          <w:p w:rsidR="000A5AC4" w:rsidRPr="007201CD" w:rsidRDefault="000A5AC4" w:rsidP="007201CD">
            <w:pPr>
              <w:keepNext/>
              <w:rPr>
                <w:color w:val="FFFFFF" w:themeColor="background1"/>
              </w:rPr>
            </w:pPr>
            <w:r w:rsidRPr="007201CD">
              <w:rPr>
                <w:b/>
                <w:color w:val="FFFFFF" w:themeColor="background1"/>
              </w:rPr>
              <w:t>EFRR</w:t>
            </w:r>
          </w:p>
        </w:tc>
        <w:tc>
          <w:tcPr>
            <w:tcW w:w="868" w:type="dxa"/>
            <w:shd w:val="clear" w:color="auto" w:fill="C45911" w:themeFill="accent2" w:themeFillShade="BF"/>
          </w:tcPr>
          <w:p w:rsidR="000A5AC4" w:rsidRPr="007201CD" w:rsidRDefault="000A5AC4" w:rsidP="007201CD">
            <w:pPr>
              <w:keepNext/>
              <w:rPr>
                <w:color w:val="FFFFFF" w:themeColor="background1"/>
              </w:rPr>
            </w:pPr>
            <w:r w:rsidRPr="007201CD">
              <w:rPr>
                <w:b/>
                <w:color w:val="FFFFFF" w:themeColor="background1"/>
              </w:rPr>
              <w:t>ESF+</w:t>
            </w:r>
          </w:p>
        </w:tc>
        <w:tc>
          <w:tcPr>
            <w:tcW w:w="811" w:type="dxa"/>
            <w:shd w:val="clear" w:color="auto" w:fill="C45911" w:themeFill="accent2" w:themeFillShade="BF"/>
          </w:tcPr>
          <w:p w:rsidR="000A5AC4" w:rsidRPr="007201CD" w:rsidRDefault="000A5AC4" w:rsidP="007201CD">
            <w:pPr>
              <w:keepNext/>
              <w:rPr>
                <w:color w:val="FFFFFF" w:themeColor="background1"/>
              </w:rPr>
            </w:pPr>
            <w:r w:rsidRPr="007201CD">
              <w:rPr>
                <w:b/>
                <w:color w:val="FFFFFF" w:themeColor="background1"/>
              </w:rPr>
              <w:t>FST</w:t>
            </w:r>
          </w:p>
        </w:tc>
        <w:tc>
          <w:tcPr>
            <w:tcW w:w="954" w:type="dxa"/>
            <w:shd w:val="clear" w:color="auto" w:fill="C45911" w:themeFill="accent2" w:themeFillShade="BF"/>
          </w:tcPr>
          <w:p w:rsidR="000A5AC4" w:rsidRPr="007201CD" w:rsidRDefault="000A5AC4" w:rsidP="007201CD">
            <w:pPr>
              <w:keepNext/>
              <w:rPr>
                <w:color w:val="FFFFFF" w:themeColor="background1"/>
              </w:rPr>
            </w:pPr>
            <w:r w:rsidRPr="007201CD">
              <w:rPr>
                <w:b/>
                <w:color w:val="FFFFFF" w:themeColor="background1"/>
              </w:rPr>
              <w:t>EPFRV</w:t>
            </w:r>
          </w:p>
        </w:tc>
        <w:tc>
          <w:tcPr>
            <w:tcW w:w="833" w:type="dxa"/>
            <w:shd w:val="clear" w:color="auto" w:fill="C45911" w:themeFill="accent2" w:themeFillShade="BF"/>
          </w:tcPr>
          <w:p w:rsidR="000A5AC4" w:rsidRPr="007201CD" w:rsidRDefault="000A5AC4" w:rsidP="007201CD">
            <w:pPr>
              <w:keepNext/>
              <w:rPr>
                <w:color w:val="FFFFFF" w:themeColor="background1"/>
              </w:rPr>
            </w:pPr>
            <w:r w:rsidRPr="007201CD">
              <w:rPr>
                <w:b/>
                <w:color w:val="FFFFFF" w:themeColor="background1"/>
              </w:rPr>
              <w:t>POO</w:t>
            </w:r>
          </w:p>
        </w:tc>
        <w:tc>
          <w:tcPr>
            <w:tcW w:w="1230" w:type="dxa"/>
            <w:shd w:val="clear" w:color="auto" w:fill="C45911" w:themeFill="accent2" w:themeFillShade="BF"/>
          </w:tcPr>
          <w:p w:rsidR="000A5AC4" w:rsidRPr="007201CD" w:rsidRDefault="00350123" w:rsidP="007201CD">
            <w:pPr>
              <w:keepNext/>
              <w:rPr>
                <w:color w:val="FFFFFF" w:themeColor="background1"/>
              </w:rPr>
            </w:pPr>
            <w:r w:rsidRPr="007201CD">
              <w:rPr>
                <w:b/>
                <w:color w:val="FFFFFF" w:themeColor="background1"/>
              </w:rPr>
              <w:t>ENRAF</w:t>
            </w:r>
          </w:p>
        </w:tc>
        <w:tc>
          <w:tcPr>
            <w:tcW w:w="1247" w:type="dxa"/>
            <w:shd w:val="clear" w:color="auto" w:fill="C45911" w:themeFill="accent2" w:themeFillShade="BF"/>
          </w:tcPr>
          <w:p w:rsidR="000A5AC4" w:rsidRPr="007201CD" w:rsidRDefault="000A5AC4" w:rsidP="007201CD">
            <w:pPr>
              <w:keepNext/>
              <w:rPr>
                <w:color w:val="FFFFFF" w:themeColor="background1"/>
              </w:rPr>
            </w:pPr>
            <w:r w:rsidRPr="007201CD">
              <w:rPr>
                <w:b/>
                <w:color w:val="FFFFFF" w:themeColor="background1"/>
              </w:rPr>
              <w:t>Ďalšie programy a nástroje EÚ</w:t>
            </w:r>
          </w:p>
        </w:tc>
        <w:tc>
          <w:tcPr>
            <w:tcW w:w="1118" w:type="dxa"/>
            <w:shd w:val="clear" w:color="auto" w:fill="C45911" w:themeFill="accent2" w:themeFillShade="BF"/>
          </w:tcPr>
          <w:p w:rsidR="000A5AC4" w:rsidRPr="007201CD" w:rsidRDefault="000A5AC4" w:rsidP="007201CD">
            <w:pPr>
              <w:keepNext/>
              <w:rPr>
                <w:color w:val="FFFFFF" w:themeColor="background1"/>
              </w:rPr>
            </w:pPr>
            <w:r w:rsidRPr="007201CD">
              <w:rPr>
                <w:b/>
                <w:color w:val="FFFFFF" w:themeColor="background1"/>
              </w:rPr>
              <w:t>Programy Interreg</w:t>
            </w:r>
          </w:p>
        </w:tc>
        <w:tc>
          <w:tcPr>
            <w:tcW w:w="955" w:type="dxa"/>
            <w:shd w:val="clear" w:color="auto" w:fill="C45911" w:themeFill="accent2" w:themeFillShade="BF"/>
          </w:tcPr>
          <w:p w:rsidR="000A5AC4" w:rsidRPr="007201CD" w:rsidRDefault="000A5AC4" w:rsidP="007201CD">
            <w:pPr>
              <w:keepNext/>
              <w:rPr>
                <w:b/>
                <w:color w:val="FFFFFF" w:themeColor="background1"/>
              </w:rPr>
            </w:pPr>
            <w:r w:rsidRPr="007201CD">
              <w:rPr>
                <w:b/>
                <w:color w:val="FFFFFF" w:themeColor="background1"/>
              </w:rPr>
              <w:t>EUSRD</w:t>
            </w:r>
          </w:p>
        </w:tc>
        <w:tc>
          <w:tcPr>
            <w:tcW w:w="1088" w:type="dxa"/>
            <w:shd w:val="clear" w:color="auto" w:fill="C45911" w:themeFill="accent2" w:themeFillShade="BF"/>
          </w:tcPr>
          <w:p w:rsidR="000A5AC4" w:rsidRPr="007201CD" w:rsidRDefault="000A5AC4" w:rsidP="007201CD">
            <w:pPr>
              <w:keepNext/>
              <w:rPr>
                <w:b/>
                <w:color w:val="FFFFFF" w:themeColor="background1"/>
              </w:rPr>
            </w:pPr>
            <w:r w:rsidRPr="007201CD">
              <w:rPr>
                <w:b/>
                <w:color w:val="FFFFFF" w:themeColor="background1"/>
              </w:rPr>
              <w:t>Iniciatívy EK</w:t>
            </w:r>
          </w:p>
        </w:tc>
        <w:tc>
          <w:tcPr>
            <w:tcW w:w="921" w:type="dxa"/>
            <w:shd w:val="clear" w:color="auto" w:fill="C45911" w:themeFill="accent2" w:themeFillShade="BF"/>
          </w:tcPr>
          <w:p w:rsidR="000A5AC4" w:rsidRPr="007201CD" w:rsidRDefault="000A5AC4" w:rsidP="007201CD">
            <w:pPr>
              <w:keepNext/>
              <w:rPr>
                <w:b/>
                <w:color w:val="FFFFFF" w:themeColor="background1"/>
              </w:rPr>
            </w:pPr>
          </w:p>
        </w:tc>
      </w:tr>
      <w:tr w:rsidR="000A5AC4" w:rsidTr="000A5AC4">
        <w:tc>
          <w:tcPr>
            <w:tcW w:w="13073" w:type="dxa"/>
            <w:gridSpan w:val="11"/>
            <w:shd w:val="clear" w:color="auto" w:fill="F4B083" w:themeFill="accent2" w:themeFillTint="99"/>
          </w:tcPr>
          <w:p w:rsidR="000A5AC4" w:rsidRDefault="000A5AC4" w:rsidP="005C70E8">
            <w:r w:rsidRPr="00675CC1">
              <w:rPr>
                <w:rFonts w:cstheme="minorHAnsi"/>
                <w:b/>
              </w:rPr>
              <w:t>C</w:t>
            </w:r>
            <w:r>
              <w:rPr>
                <w:rFonts w:cstheme="minorHAnsi"/>
                <w:b/>
              </w:rPr>
              <w:t xml:space="preserve">ieľ politiky </w:t>
            </w:r>
            <w:r w:rsidRPr="00675CC1">
              <w:rPr>
                <w:rFonts w:cstheme="minorHAnsi"/>
                <w:b/>
              </w:rPr>
              <w:t>5</w:t>
            </w:r>
            <w:r>
              <w:rPr>
                <w:rFonts w:cstheme="minorHAnsi"/>
                <w:b/>
              </w:rPr>
              <w:t xml:space="preserve"> </w:t>
            </w:r>
            <w:r w:rsidRPr="00675CC1">
              <w:rPr>
                <w:rFonts w:cstheme="minorHAnsi"/>
                <w:b/>
              </w:rPr>
              <w:t xml:space="preserve">Európa bližšie k </w:t>
            </w:r>
            <w:r>
              <w:rPr>
                <w:rFonts w:cstheme="minorHAnsi"/>
                <w:b/>
              </w:rPr>
              <w:t>občanom</w:t>
            </w:r>
          </w:p>
        </w:tc>
        <w:tc>
          <w:tcPr>
            <w:tcW w:w="921" w:type="dxa"/>
            <w:shd w:val="clear" w:color="auto" w:fill="F4B083" w:themeFill="accent2" w:themeFillTint="99"/>
          </w:tcPr>
          <w:p w:rsidR="000A5AC4" w:rsidRPr="00675CC1" w:rsidRDefault="000A5AC4" w:rsidP="005C70E8">
            <w:pPr>
              <w:rPr>
                <w:rFonts w:cstheme="minorHAnsi"/>
                <w:b/>
              </w:rPr>
            </w:pPr>
          </w:p>
        </w:tc>
      </w:tr>
      <w:tr w:rsidR="000A5AC4" w:rsidTr="000A5AC4">
        <w:tc>
          <w:tcPr>
            <w:tcW w:w="13073" w:type="dxa"/>
            <w:gridSpan w:val="11"/>
            <w:shd w:val="clear" w:color="auto" w:fill="FBE4D5" w:themeFill="accent2" w:themeFillTint="33"/>
          </w:tcPr>
          <w:p w:rsidR="000A5AC4" w:rsidRDefault="000A5AC4" w:rsidP="005C70E8">
            <w:r>
              <w:rPr>
                <w:rFonts w:cstheme="minorHAnsi"/>
                <w:b/>
              </w:rPr>
              <w:t>Priorita 1 Moderné regióny</w:t>
            </w:r>
          </w:p>
        </w:tc>
        <w:tc>
          <w:tcPr>
            <w:tcW w:w="921" w:type="dxa"/>
            <w:shd w:val="clear" w:color="auto" w:fill="FBE4D5" w:themeFill="accent2" w:themeFillTint="33"/>
          </w:tcPr>
          <w:p w:rsidR="000A5AC4" w:rsidRDefault="000A5AC4" w:rsidP="005C70E8">
            <w:pPr>
              <w:rPr>
                <w:rFonts w:cstheme="minorHAnsi"/>
                <w:b/>
              </w:rPr>
            </w:pPr>
          </w:p>
        </w:tc>
      </w:tr>
      <w:tr w:rsidR="000A5AC4" w:rsidTr="000A5AC4">
        <w:tc>
          <w:tcPr>
            <w:tcW w:w="3049" w:type="dxa"/>
          </w:tcPr>
          <w:p w:rsidR="000A5AC4" w:rsidRPr="00675CC1" w:rsidRDefault="000A5AC4" w:rsidP="005C70E8">
            <w:pPr>
              <w:spacing w:before="60" w:after="60"/>
              <w:rPr>
                <w:rFonts w:cstheme="minorHAnsi"/>
              </w:rPr>
            </w:pPr>
            <w:r w:rsidRPr="00675CC1">
              <w:rPr>
                <w:rFonts w:cstheme="minorHAnsi"/>
              </w:rPr>
              <w:t>RSO5.1</w:t>
            </w:r>
          </w:p>
          <w:p w:rsidR="000A5AC4" w:rsidRPr="00675CC1" w:rsidRDefault="000A5AC4" w:rsidP="005C70E8">
            <w:r w:rsidRPr="00675CC1">
              <w:rPr>
                <w:rFonts w:cstheme="minorHAnsi"/>
              </w:rPr>
              <w:t>Podpora integrovaného a inkluzívneho sociálneho, hospodárskeho a environmentálneho rozvoja, kultúry, prírodného dedičstva, udržateľného cestovného ruchu a bezpečnosti v mestských oblastiach</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100DEF" w:rsidP="005C70E8">
            <w:r>
              <w:t>x</w:t>
            </w:r>
          </w:p>
        </w:tc>
        <w:tc>
          <w:tcPr>
            <w:tcW w:w="954" w:type="dxa"/>
          </w:tcPr>
          <w:p w:rsidR="000A5AC4" w:rsidRDefault="000A5AC4" w:rsidP="005C70E8"/>
        </w:tc>
        <w:tc>
          <w:tcPr>
            <w:tcW w:w="833" w:type="dxa"/>
          </w:tcPr>
          <w:p w:rsidR="000A5AC4" w:rsidRDefault="000A5AC4" w:rsidP="005C70E8">
            <w:r>
              <w:t>x</w:t>
            </w:r>
          </w:p>
        </w:tc>
        <w:tc>
          <w:tcPr>
            <w:tcW w:w="1230" w:type="dxa"/>
          </w:tcPr>
          <w:p w:rsidR="000A5AC4" w:rsidRDefault="000A5AC4" w:rsidP="005C70E8"/>
        </w:tc>
        <w:tc>
          <w:tcPr>
            <w:tcW w:w="1247" w:type="dxa"/>
          </w:tcPr>
          <w:p w:rsidR="000A5AC4" w:rsidRPr="00632F48" w:rsidRDefault="000A5AC4" w:rsidP="005C70E8">
            <w:pPr>
              <w:rPr>
                <w:sz w:val="20"/>
                <w:szCs w:val="20"/>
              </w:rPr>
            </w:pPr>
            <w:r w:rsidRPr="00632F48">
              <w:rPr>
                <w:sz w:val="20"/>
                <w:szCs w:val="20"/>
              </w:rPr>
              <w:t>Kreatívna Európa</w:t>
            </w:r>
          </w:p>
          <w:p w:rsidR="000A5AC4" w:rsidRPr="00632F48" w:rsidRDefault="000A5AC4" w:rsidP="005C70E8">
            <w:pPr>
              <w:rPr>
                <w:sz w:val="20"/>
                <w:szCs w:val="20"/>
              </w:rPr>
            </w:pPr>
          </w:p>
          <w:p w:rsidR="000A5AC4" w:rsidRPr="00632F48" w:rsidRDefault="000A5AC4" w:rsidP="005C70E8">
            <w:pPr>
              <w:rPr>
                <w:sz w:val="20"/>
                <w:szCs w:val="20"/>
              </w:rPr>
            </w:pPr>
            <w:r w:rsidRPr="00632F48">
              <w:rPr>
                <w:sz w:val="20"/>
                <w:szCs w:val="20"/>
              </w:rPr>
              <w:t>Horizont Európa</w:t>
            </w:r>
          </w:p>
          <w:p w:rsidR="000A5AC4" w:rsidRPr="00632F48" w:rsidRDefault="000A5AC4" w:rsidP="005C70E8">
            <w:pPr>
              <w:rPr>
                <w:sz w:val="20"/>
                <w:szCs w:val="20"/>
              </w:rPr>
            </w:pPr>
          </w:p>
          <w:p w:rsidR="000A5AC4" w:rsidRPr="00632F48" w:rsidRDefault="000A5AC4" w:rsidP="005C70E8">
            <w:pPr>
              <w:rPr>
                <w:sz w:val="20"/>
                <w:szCs w:val="20"/>
              </w:rPr>
            </w:pPr>
            <w:r w:rsidRPr="00632F48">
              <w:rPr>
                <w:sz w:val="20"/>
                <w:szCs w:val="20"/>
              </w:rPr>
              <w:t>EU4Health</w:t>
            </w:r>
          </w:p>
          <w:p w:rsidR="000A5AC4" w:rsidRPr="00632F48" w:rsidRDefault="000A5AC4" w:rsidP="005C70E8">
            <w:pPr>
              <w:rPr>
                <w:sz w:val="20"/>
                <w:szCs w:val="20"/>
              </w:rPr>
            </w:pPr>
          </w:p>
          <w:p w:rsidR="000A5AC4" w:rsidRDefault="000A5AC4" w:rsidP="005C70E8">
            <w:r w:rsidRPr="00632F48">
              <w:rPr>
                <w:sz w:val="20"/>
                <w:szCs w:val="20"/>
              </w:rPr>
              <w:t>Fond pre vnútornú bezpečnosť</w:t>
            </w:r>
          </w:p>
        </w:tc>
        <w:tc>
          <w:tcPr>
            <w:tcW w:w="1118" w:type="dxa"/>
          </w:tcPr>
          <w:p w:rsidR="000A5AC4" w:rsidRDefault="000A5AC4" w:rsidP="005C70E8">
            <w:r>
              <w:t>x</w:t>
            </w:r>
          </w:p>
        </w:tc>
        <w:tc>
          <w:tcPr>
            <w:tcW w:w="955" w:type="dxa"/>
          </w:tcPr>
          <w:p w:rsidR="000A5AC4" w:rsidRDefault="000A5AC4" w:rsidP="005C70E8">
            <w:r>
              <w:t>x</w:t>
            </w:r>
          </w:p>
        </w:tc>
        <w:tc>
          <w:tcPr>
            <w:tcW w:w="1088" w:type="dxa"/>
          </w:tcPr>
          <w:p w:rsidR="000A5AC4" w:rsidRDefault="000A5AC4" w:rsidP="005C70E8">
            <w:r>
              <w:t>Catching-up</w:t>
            </w:r>
            <w:r w:rsidR="00EF0988">
              <w:t xml:space="preserve"> Regions</w:t>
            </w:r>
          </w:p>
        </w:tc>
        <w:tc>
          <w:tcPr>
            <w:tcW w:w="921" w:type="dxa"/>
          </w:tcPr>
          <w:p w:rsidR="000A5AC4" w:rsidRDefault="000A5AC4" w:rsidP="005C70E8">
            <w:r>
              <w:t>x</w:t>
            </w:r>
          </w:p>
        </w:tc>
      </w:tr>
      <w:tr w:rsidR="000A5AC4" w:rsidTr="000A5AC4">
        <w:tc>
          <w:tcPr>
            <w:tcW w:w="3049" w:type="dxa"/>
          </w:tcPr>
          <w:p w:rsidR="000A5AC4" w:rsidRPr="00675CC1" w:rsidRDefault="000A5AC4" w:rsidP="005C70E8">
            <w:pPr>
              <w:spacing w:before="60" w:after="60"/>
              <w:rPr>
                <w:rFonts w:cstheme="minorHAnsi"/>
              </w:rPr>
            </w:pPr>
            <w:r w:rsidRPr="00675CC1">
              <w:rPr>
                <w:rFonts w:cstheme="minorHAnsi"/>
              </w:rPr>
              <w:t>RSO5.2</w:t>
            </w:r>
          </w:p>
          <w:p w:rsidR="000A5AC4" w:rsidRPr="00D65D21" w:rsidRDefault="000A5AC4" w:rsidP="005C70E8">
            <w:pPr>
              <w:rPr>
                <w:rFonts w:cstheme="minorHAnsi"/>
              </w:rPr>
            </w:pPr>
            <w:r w:rsidRPr="00675CC1">
              <w:rPr>
                <w:rFonts w:cstheme="minorHAnsi"/>
              </w:rPr>
              <w:t>Podpora integrovaného a inkluzívneho sociálneho, hospodárskeho a environmentálneho miestneho rozvoja, kultúry, prírodného dedičstva, udržateľného cestovného ruchu a bezpečnosti v iných ako mestských oblastiach</w:t>
            </w:r>
          </w:p>
        </w:tc>
        <w:tc>
          <w:tcPr>
            <w:tcW w:w="920" w:type="dxa"/>
          </w:tcPr>
          <w:p w:rsidR="000A5AC4" w:rsidRDefault="000A5AC4" w:rsidP="005C70E8">
            <w:r>
              <w:t>x</w:t>
            </w:r>
          </w:p>
        </w:tc>
        <w:tc>
          <w:tcPr>
            <w:tcW w:w="868" w:type="dxa"/>
          </w:tcPr>
          <w:p w:rsidR="000A5AC4" w:rsidRDefault="000A5AC4" w:rsidP="005C70E8"/>
        </w:tc>
        <w:tc>
          <w:tcPr>
            <w:tcW w:w="811" w:type="dxa"/>
          </w:tcPr>
          <w:p w:rsidR="000A5AC4" w:rsidRDefault="00100DEF" w:rsidP="005C70E8">
            <w:r>
              <w:t>x</w:t>
            </w:r>
          </w:p>
        </w:tc>
        <w:tc>
          <w:tcPr>
            <w:tcW w:w="954" w:type="dxa"/>
          </w:tcPr>
          <w:p w:rsidR="000A5AC4" w:rsidRDefault="000A5AC4" w:rsidP="005C70E8">
            <w:r>
              <w:t>x</w:t>
            </w:r>
          </w:p>
        </w:tc>
        <w:tc>
          <w:tcPr>
            <w:tcW w:w="833" w:type="dxa"/>
          </w:tcPr>
          <w:p w:rsidR="000A5AC4" w:rsidRDefault="000A5AC4" w:rsidP="005C70E8">
            <w:r>
              <w:t>x</w:t>
            </w:r>
          </w:p>
        </w:tc>
        <w:tc>
          <w:tcPr>
            <w:tcW w:w="1230" w:type="dxa"/>
          </w:tcPr>
          <w:p w:rsidR="000A5AC4" w:rsidRDefault="000A5AC4" w:rsidP="005C70E8"/>
        </w:tc>
        <w:tc>
          <w:tcPr>
            <w:tcW w:w="1247" w:type="dxa"/>
          </w:tcPr>
          <w:p w:rsidR="000A5AC4" w:rsidRPr="00632F48" w:rsidRDefault="000A5AC4" w:rsidP="005C70E8">
            <w:pPr>
              <w:rPr>
                <w:sz w:val="20"/>
                <w:szCs w:val="20"/>
              </w:rPr>
            </w:pPr>
            <w:r w:rsidRPr="00632F48">
              <w:rPr>
                <w:sz w:val="20"/>
                <w:szCs w:val="20"/>
              </w:rPr>
              <w:t>Kreatívna Európa</w:t>
            </w:r>
          </w:p>
          <w:p w:rsidR="000A5AC4" w:rsidRPr="00632F48" w:rsidRDefault="000A5AC4" w:rsidP="005C70E8">
            <w:pPr>
              <w:rPr>
                <w:sz w:val="20"/>
                <w:szCs w:val="20"/>
              </w:rPr>
            </w:pPr>
          </w:p>
          <w:p w:rsidR="000A5AC4" w:rsidRPr="00632F48" w:rsidRDefault="000A5AC4" w:rsidP="005C70E8">
            <w:pPr>
              <w:rPr>
                <w:sz w:val="20"/>
                <w:szCs w:val="20"/>
              </w:rPr>
            </w:pPr>
            <w:r w:rsidRPr="00632F48">
              <w:rPr>
                <w:sz w:val="20"/>
                <w:szCs w:val="20"/>
              </w:rPr>
              <w:t>Horizont Európa</w:t>
            </w:r>
          </w:p>
          <w:p w:rsidR="000A5AC4" w:rsidRPr="00632F48" w:rsidRDefault="000A5AC4" w:rsidP="005C70E8">
            <w:pPr>
              <w:rPr>
                <w:sz w:val="20"/>
                <w:szCs w:val="20"/>
              </w:rPr>
            </w:pPr>
          </w:p>
          <w:p w:rsidR="000A5AC4" w:rsidRPr="00632F48" w:rsidRDefault="000A5AC4" w:rsidP="005C70E8">
            <w:pPr>
              <w:rPr>
                <w:sz w:val="20"/>
                <w:szCs w:val="20"/>
              </w:rPr>
            </w:pPr>
            <w:r w:rsidRPr="00632F48">
              <w:rPr>
                <w:sz w:val="20"/>
                <w:szCs w:val="20"/>
              </w:rPr>
              <w:t>EU4Health</w:t>
            </w:r>
          </w:p>
          <w:p w:rsidR="000A5AC4" w:rsidRPr="00632F48" w:rsidRDefault="000A5AC4" w:rsidP="005C70E8">
            <w:pPr>
              <w:rPr>
                <w:sz w:val="20"/>
                <w:szCs w:val="20"/>
              </w:rPr>
            </w:pPr>
          </w:p>
          <w:p w:rsidR="000A5AC4" w:rsidRDefault="000A5AC4" w:rsidP="005C70E8">
            <w:r w:rsidRPr="00632F48">
              <w:rPr>
                <w:sz w:val="20"/>
                <w:szCs w:val="20"/>
              </w:rPr>
              <w:t>Fond pre vnútornú bezpečnosť</w:t>
            </w:r>
          </w:p>
        </w:tc>
        <w:tc>
          <w:tcPr>
            <w:tcW w:w="1118" w:type="dxa"/>
          </w:tcPr>
          <w:p w:rsidR="000A5AC4" w:rsidRDefault="000A5AC4" w:rsidP="005C70E8">
            <w:r>
              <w:t>x</w:t>
            </w:r>
          </w:p>
        </w:tc>
        <w:tc>
          <w:tcPr>
            <w:tcW w:w="955" w:type="dxa"/>
          </w:tcPr>
          <w:p w:rsidR="000A5AC4" w:rsidRDefault="000A5AC4" w:rsidP="005C70E8"/>
        </w:tc>
        <w:tc>
          <w:tcPr>
            <w:tcW w:w="1088" w:type="dxa"/>
          </w:tcPr>
          <w:p w:rsidR="000A5AC4" w:rsidRDefault="000A5AC4" w:rsidP="005C70E8">
            <w:r>
              <w:t>Catching-up</w:t>
            </w:r>
            <w:r w:rsidR="00EF0988">
              <w:t xml:space="preserve"> Regions</w:t>
            </w:r>
          </w:p>
        </w:tc>
        <w:tc>
          <w:tcPr>
            <w:tcW w:w="921" w:type="dxa"/>
          </w:tcPr>
          <w:p w:rsidR="000A5AC4" w:rsidRDefault="000A5AC4" w:rsidP="005C70E8">
            <w:r>
              <w:t>x</w:t>
            </w:r>
          </w:p>
        </w:tc>
      </w:tr>
      <w:tr w:rsidR="000A5AC4" w:rsidTr="000A5AC4">
        <w:tc>
          <w:tcPr>
            <w:tcW w:w="13073" w:type="dxa"/>
            <w:gridSpan w:val="11"/>
            <w:shd w:val="clear" w:color="auto" w:fill="F4B083" w:themeFill="accent2" w:themeFillTint="99"/>
          </w:tcPr>
          <w:p w:rsidR="000A5AC4" w:rsidRDefault="000A5AC4" w:rsidP="005C70E8">
            <w:pPr>
              <w:rPr>
                <w:rFonts w:cstheme="minorHAnsi"/>
                <w:b/>
                <w:bCs/>
                <w:lang w:val="en-GB"/>
              </w:rPr>
            </w:pPr>
            <w:r w:rsidRPr="00675CC1">
              <w:rPr>
                <w:rFonts w:cstheme="minorHAnsi"/>
                <w:b/>
                <w:bCs/>
                <w:lang w:val="en-GB"/>
              </w:rPr>
              <w:t xml:space="preserve">Fond </w:t>
            </w:r>
            <w:r>
              <w:rPr>
                <w:rFonts w:cstheme="minorHAnsi"/>
                <w:b/>
                <w:bCs/>
                <w:lang w:val="en-GB"/>
              </w:rPr>
              <w:t>spravodlivej transformácie</w:t>
            </w:r>
          </w:p>
          <w:p w:rsidR="000A5AC4" w:rsidRDefault="000A5AC4" w:rsidP="005C70E8"/>
        </w:tc>
        <w:tc>
          <w:tcPr>
            <w:tcW w:w="921" w:type="dxa"/>
            <w:shd w:val="clear" w:color="auto" w:fill="F4B083" w:themeFill="accent2" w:themeFillTint="99"/>
          </w:tcPr>
          <w:p w:rsidR="000A5AC4" w:rsidRPr="00675CC1" w:rsidRDefault="000A5AC4" w:rsidP="005C70E8">
            <w:pPr>
              <w:rPr>
                <w:rFonts w:cstheme="minorHAnsi"/>
                <w:b/>
                <w:bCs/>
                <w:lang w:val="en-GB"/>
              </w:rPr>
            </w:pPr>
          </w:p>
        </w:tc>
      </w:tr>
      <w:tr w:rsidR="000A5AC4" w:rsidTr="000A5AC4">
        <w:tc>
          <w:tcPr>
            <w:tcW w:w="3049" w:type="dxa"/>
            <w:shd w:val="clear" w:color="auto" w:fill="auto"/>
          </w:tcPr>
          <w:p w:rsidR="000A5AC4" w:rsidRPr="009A1721" w:rsidRDefault="000A5AC4" w:rsidP="005C70E8">
            <w:r w:rsidRPr="009A1721">
              <w:rPr>
                <w:rFonts w:cstheme="minorHAnsi"/>
              </w:rPr>
              <w:t>U</w:t>
            </w:r>
            <w:r>
              <w:rPr>
                <w:rFonts w:cstheme="minorHAnsi"/>
              </w:rPr>
              <w:t xml:space="preserve">možní </w:t>
            </w:r>
            <w:r w:rsidRPr="009A1721">
              <w:rPr>
                <w:rFonts w:cstheme="minorHAnsi"/>
              </w:rPr>
              <w:t xml:space="preserve">regiónom a obyvateľom riešiť sociálne, hospodárske a </w:t>
            </w:r>
            <w:r w:rsidRPr="009A1721">
              <w:rPr>
                <w:rFonts w:cstheme="minorHAnsi"/>
              </w:rPr>
              <w:lastRenderedPageBreak/>
              <w:t>environmentálne dôsledky spôsobené transformáciou v rámci plnenia energetického a klimatického cieľa Únie do roku 2030 a dosahovania klimaticky neutrálneho hospodárstva Únie do roku 2050 na základe Parížskej dohody</w:t>
            </w:r>
          </w:p>
        </w:tc>
        <w:tc>
          <w:tcPr>
            <w:tcW w:w="920" w:type="dxa"/>
            <w:shd w:val="clear" w:color="auto" w:fill="auto"/>
          </w:tcPr>
          <w:p w:rsidR="000A5AC4" w:rsidRDefault="000A5AC4" w:rsidP="005C70E8">
            <w:r>
              <w:lastRenderedPageBreak/>
              <w:t>x</w:t>
            </w:r>
          </w:p>
        </w:tc>
        <w:tc>
          <w:tcPr>
            <w:tcW w:w="868" w:type="dxa"/>
            <w:shd w:val="clear" w:color="auto" w:fill="auto"/>
          </w:tcPr>
          <w:p w:rsidR="000A5AC4" w:rsidRDefault="00100DEF" w:rsidP="005C70E8">
            <w:r>
              <w:t>x</w:t>
            </w:r>
          </w:p>
        </w:tc>
        <w:tc>
          <w:tcPr>
            <w:tcW w:w="811" w:type="dxa"/>
            <w:shd w:val="clear" w:color="auto" w:fill="auto"/>
          </w:tcPr>
          <w:p w:rsidR="000A5AC4" w:rsidRDefault="000A5AC4" w:rsidP="005C70E8"/>
        </w:tc>
        <w:tc>
          <w:tcPr>
            <w:tcW w:w="954" w:type="dxa"/>
            <w:shd w:val="clear" w:color="auto" w:fill="auto"/>
          </w:tcPr>
          <w:p w:rsidR="000A5AC4" w:rsidRDefault="000A5AC4" w:rsidP="005C70E8"/>
        </w:tc>
        <w:tc>
          <w:tcPr>
            <w:tcW w:w="833" w:type="dxa"/>
            <w:shd w:val="clear" w:color="auto" w:fill="auto"/>
          </w:tcPr>
          <w:p w:rsidR="000A5AC4" w:rsidRDefault="000A5AC4" w:rsidP="005C70E8">
            <w:r>
              <w:t>x</w:t>
            </w:r>
          </w:p>
        </w:tc>
        <w:tc>
          <w:tcPr>
            <w:tcW w:w="1230" w:type="dxa"/>
            <w:shd w:val="clear" w:color="auto" w:fill="auto"/>
          </w:tcPr>
          <w:p w:rsidR="000A5AC4" w:rsidRDefault="000A5AC4" w:rsidP="005C70E8"/>
        </w:tc>
        <w:tc>
          <w:tcPr>
            <w:tcW w:w="1247" w:type="dxa"/>
            <w:shd w:val="clear" w:color="auto" w:fill="auto"/>
          </w:tcPr>
          <w:p w:rsidR="00100DEF" w:rsidRPr="00632F48" w:rsidRDefault="00100DEF" w:rsidP="00100DEF">
            <w:pPr>
              <w:rPr>
                <w:sz w:val="20"/>
                <w:szCs w:val="20"/>
              </w:rPr>
            </w:pPr>
            <w:r w:rsidRPr="00632F48">
              <w:rPr>
                <w:sz w:val="20"/>
                <w:szCs w:val="20"/>
              </w:rPr>
              <w:t>Horizont Európa</w:t>
            </w:r>
          </w:p>
          <w:p w:rsidR="00100DEF" w:rsidRPr="00632F48" w:rsidRDefault="00100DEF" w:rsidP="00100DEF">
            <w:pPr>
              <w:rPr>
                <w:sz w:val="20"/>
                <w:szCs w:val="20"/>
              </w:rPr>
            </w:pPr>
          </w:p>
          <w:p w:rsidR="00100DEF" w:rsidRDefault="00100DEF" w:rsidP="00100DEF">
            <w:pPr>
              <w:rPr>
                <w:sz w:val="20"/>
                <w:szCs w:val="20"/>
              </w:rPr>
            </w:pPr>
            <w:r w:rsidRPr="00632F48">
              <w:rPr>
                <w:sz w:val="20"/>
                <w:szCs w:val="20"/>
              </w:rPr>
              <w:lastRenderedPageBreak/>
              <w:t>Erasmus+</w:t>
            </w:r>
          </w:p>
          <w:p w:rsidR="00100DEF" w:rsidRDefault="00100DEF" w:rsidP="00100DEF">
            <w:pPr>
              <w:rPr>
                <w:sz w:val="20"/>
                <w:szCs w:val="20"/>
              </w:rPr>
            </w:pPr>
          </w:p>
          <w:p w:rsidR="00100DEF" w:rsidRPr="00632F48" w:rsidRDefault="00100DEF" w:rsidP="00100DEF">
            <w:pPr>
              <w:rPr>
                <w:sz w:val="20"/>
                <w:szCs w:val="20"/>
              </w:rPr>
            </w:pPr>
            <w:r>
              <w:rPr>
                <w:sz w:val="20"/>
                <w:szCs w:val="20"/>
              </w:rPr>
              <w:t>Modernizačný fond</w:t>
            </w:r>
          </w:p>
          <w:p w:rsidR="00100DEF" w:rsidRPr="00632F48" w:rsidRDefault="00100DEF" w:rsidP="00100DEF">
            <w:pPr>
              <w:rPr>
                <w:sz w:val="20"/>
                <w:szCs w:val="20"/>
              </w:rPr>
            </w:pPr>
          </w:p>
          <w:p w:rsidR="000A5AC4" w:rsidRPr="00632F48" w:rsidRDefault="00100DEF" w:rsidP="00100DEF">
            <w:pPr>
              <w:rPr>
                <w:sz w:val="20"/>
                <w:szCs w:val="20"/>
              </w:rPr>
            </w:pPr>
            <w:r w:rsidRPr="00632F48">
              <w:rPr>
                <w:sz w:val="20"/>
                <w:szCs w:val="20"/>
              </w:rPr>
              <w:t>Digitálna Európa</w:t>
            </w:r>
          </w:p>
        </w:tc>
        <w:tc>
          <w:tcPr>
            <w:tcW w:w="1118" w:type="dxa"/>
            <w:shd w:val="clear" w:color="auto" w:fill="auto"/>
          </w:tcPr>
          <w:p w:rsidR="000A5AC4" w:rsidRDefault="000A5AC4" w:rsidP="005C70E8">
            <w:r>
              <w:lastRenderedPageBreak/>
              <w:t>x</w:t>
            </w:r>
          </w:p>
        </w:tc>
        <w:tc>
          <w:tcPr>
            <w:tcW w:w="955" w:type="dxa"/>
            <w:shd w:val="clear" w:color="auto" w:fill="auto"/>
          </w:tcPr>
          <w:p w:rsidR="000A5AC4" w:rsidRDefault="000A5AC4" w:rsidP="005C70E8"/>
        </w:tc>
        <w:tc>
          <w:tcPr>
            <w:tcW w:w="1088" w:type="dxa"/>
            <w:shd w:val="clear" w:color="auto" w:fill="auto"/>
          </w:tcPr>
          <w:p w:rsidR="000A5AC4" w:rsidRDefault="00100DEF" w:rsidP="005C70E8">
            <w:r>
              <w:t>Iniciatíva uhoľných regiónov</w:t>
            </w:r>
          </w:p>
        </w:tc>
        <w:tc>
          <w:tcPr>
            <w:tcW w:w="921" w:type="dxa"/>
          </w:tcPr>
          <w:p w:rsidR="000A5AC4" w:rsidRDefault="000A5AC4" w:rsidP="005C70E8"/>
        </w:tc>
      </w:tr>
    </w:tbl>
    <w:p w:rsidR="003A6220" w:rsidRPr="000D1A10" w:rsidRDefault="00296833">
      <w:pPr>
        <w:rPr>
          <w:b/>
          <w:sz w:val="20"/>
          <w:szCs w:val="20"/>
          <w:u w:val="single"/>
        </w:rPr>
      </w:pPr>
      <w:r w:rsidRPr="000D1A10">
        <w:rPr>
          <w:b/>
          <w:sz w:val="20"/>
          <w:szCs w:val="20"/>
          <w:u w:val="single"/>
        </w:rPr>
        <w:t>Poznámka: Program Slovensko vytvorí systémový nástroj podpory projektov, ktoré získali ocenenie Seal of excellence z programov Horizont Európa, Erasmus+, Life</w:t>
      </w:r>
    </w:p>
    <w:p w:rsidR="00844E27" w:rsidRDefault="00844E27" w:rsidP="005E70C3">
      <w:pPr>
        <w:spacing w:before="60" w:after="60"/>
        <w:rPr>
          <w:rFonts w:cstheme="minorHAnsi"/>
          <w:b/>
        </w:rPr>
      </w:pPr>
    </w:p>
    <w:p w:rsidR="005E70C3" w:rsidRPr="000C0B7D" w:rsidRDefault="005E70C3" w:rsidP="005E70C3">
      <w:pPr>
        <w:spacing w:before="60" w:after="60"/>
        <w:rPr>
          <w:rFonts w:cstheme="minorHAnsi"/>
          <w:b/>
          <w:sz w:val="24"/>
          <w:szCs w:val="24"/>
        </w:rPr>
      </w:pPr>
      <w:r w:rsidRPr="000C0B7D">
        <w:rPr>
          <w:rFonts w:cstheme="minorHAnsi"/>
          <w:b/>
          <w:sz w:val="24"/>
          <w:szCs w:val="24"/>
        </w:rPr>
        <w:t>Cieľ politiky 1 Konkurencieschopnejšia a inteligentnejšia Európa</w:t>
      </w:r>
    </w:p>
    <w:p w:rsidR="002F51E1" w:rsidRDefault="001413B9" w:rsidP="002F51E1">
      <w:pPr>
        <w:jc w:val="both"/>
        <w:rPr>
          <w:sz w:val="20"/>
          <w:szCs w:val="20"/>
          <w:u w:val="single"/>
        </w:rPr>
      </w:pPr>
      <w:r w:rsidRPr="005B272D">
        <w:rPr>
          <w:rFonts w:eastAsia="Times New Roman"/>
          <w:sz w:val="20"/>
        </w:rPr>
        <w:t>Investície z </w:t>
      </w:r>
      <w:r w:rsidRPr="00677D5F">
        <w:rPr>
          <w:rFonts w:eastAsia="Times New Roman"/>
          <w:b/>
          <w:sz w:val="20"/>
          <w:u w:val="single"/>
        </w:rPr>
        <w:t>EFRR</w:t>
      </w:r>
      <w:r w:rsidRPr="005B272D">
        <w:rPr>
          <w:rFonts w:eastAsia="Times New Roman"/>
          <w:sz w:val="20"/>
        </w:rPr>
        <w:t>, budú zamerané v rámci CP 1 na podporu rozvoja v oblasti vedy, výskumu a inovácií, malého a stredného podnikania, využívania výhod digitalizácie a rozvoj zručností pre inteligentnú špecializáciu, priemyselnú transformáciu a podnikanie.</w:t>
      </w:r>
      <w:r w:rsidR="002F51E1" w:rsidRPr="002F51E1">
        <w:rPr>
          <w:sz w:val="20"/>
          <w:szCs w:val="20"/>
          <w:u w:val="single"/>
        </w:rPr>
        <w:t xml:space="preserve"> </w:t>
      </w:r>
    </w:p>
    <w:p w:rsidR="002F51E1" w:rsidRPr="000D1A10" w:rsidRDefault="002F51E1" w:rsidP="002F51E1">
      <w:pPr>
        <w:jc w:val="both"/>
        <w:rPr>
          <w:sz w:val="20"/>
          <w:szCs w:val="20"/>
          <w:u w:val="single"/>
        </w:rPr>
      </w:pPr>
      <w:r w:rsidRPr="000D1A10">
        <w:rPr>
          <w:sz w:val="20"/>
          <w:szCs w:val="20"/>
          <w:u w:val="single"/>
        </w:rPr>
        <w:t xml:space="preserve">Všetky aktivity podporené </w:t>
      </w:r>
      <w:r w:rsidRPr="000D1A10">
        <w:rPr>
          <w:b/>
          <w:sz w:val="20"/>
          <w:szCs w:val="20"/>
          <w:u w:val="single"/>
        </w:rPr>
        <w:t xml:space="preserve">fondom EFRR </w:t>
      </w:r>
      <w:r w:rsidRPr="000D1A10">
        <w:rPr>
          <w:sz w:val="20"/>
          <w:szCs w:val="20"/>
          <w:u w:val="single"/>
        </w:rPr>
        <w:t xml:space="preserve">v rámci CP1 budú vykonávané v doménach SK RIS3 2021+.  </w:t>
      </w:r>
    </w:p>
    <w:p w:rsidR="00375557" w:rsidRPr="00C54B4F" w:rsidRDefault="00DA74F9" w:rsidP="00677D5F">
      <w:pPr>
        <w:jc w:val="both"/>
        <w:rPr>
          <w:b/>
          <w:u w:val="single"/>
        </w:rPr>
      </w:pPr>
      <w:r w:rsidRPr="00C54B4F">
        <w:rPr>
          <w:b/>
          <w:u w:val="single"/>
        </w:rPr>
        <w:t>Synergie s</w:t>
      </w:r>
      <w:r w:rsidR="00375557" w:rsidRPr="00C54B4F">
        <w:rPr>
          <w:b/>
          <w:u w:val="single"/>
        </w:rPr>
        <w:t xml:space="preserve"> POO</w:t>
      </w:r>
    </w:p>
    <w:p w:rsidR="00677D5F" w:rsidRPr="007F3D93" w:rsidRDefault="00677D5F" w:rsidP="00677D5F">
      <w:pPr>
        <w:jc w:val="both"/>
        <w:rPr>
          <w:sz w:val="20"/>
          <w:szCs w:val="20"/>
        </w:rPr>
      </w:pPr>
      <w:r w:rsidRPr="007F3D93">
        <w:rPr>
          <w:b/>
          <w:sz w:val="20"/>
          <w:szCs w:val="20"/>
        </w:rPr>
        <w:t>Z </w:t>
      </w:r>
      <w:r w:rsidRPr="00EF0988">
        <w:rPr>
          <w:b/>
          <w:sz w:val="20"/>
          <w:szCs w:val="20"/>
          <w:u w:val="single"/>
        </w:rPr>
        <w:t>EFRR</w:t>
      </w:r>
      <w:r w:rsidRPr="007F3D93">
        <w:rPr>
          <w:sz w:val="20"/>
          <w:szCs w:val="20"/>
        </w:rPr>
        <w:t xml:space="preserve"> sa podporia ľudské zdroje </w:t>
      </w:r>
      <w:r w:rsidR="001E70C9">
        <w:rPr>
          <w:sz w:val="20"/>
          <w:szCs w:val="20"/>
        </w:rPr>
        <w:t xml:space="preserve">v </w:t>
      </w:r>
      <w:r w:rsidRPr="007F3D93">
        <w:rPr>
          <w:sz w:val="20"/>
          <w:szCs w:val="20"/>
        </w:rPr>
        <w:t>oblasti výskumu, vývoja a inovácií v podnikoch, vrátane podpory stážových, výmenných a vzdelávacích programov v podnikoch zameraných na oblasť VVaI. V súlade so synergiou z </w:t>
      </w:r>
      <w:r w:rsidRPr="00677D5F">
        <w:rPr>
          <w:b/>
          <w:sz w:val="20"/>
          <w:szCs w:val="20"/>
          <w:u w:val="single"/>
        </w:rPr>
        <w:t>POO</w:t>
      </w:r>
      <w:r w:rsidRPr="007F3D93">
        <w:rPr>
          <w:sz w:val="20"/>
          <w:szCs w:val="20"/>
        </w:rPr>
        <w:t>, kde sa investičná pomoc pretaví do projektov rozvoja výskumnej, vzdelávace</w:t>
      </w:r>
      <w:r w:rsidR="007B12E5">
        <w:rPr>
          <w:sz w:val="20"/>
          <w:szCs w:val="20"/>
        </w:rPr>
        <w:t xml:space="preserve">j a ubytovacej infraštruktúry, </w:t>
      </w:r>
      <w:r w:rsidRPr="007F3D93">
        <w:rPr>
          <w:sz w:val="20"/>
          <w:szCs w:val="20"/>
        </w:rPr>
        <w:t xml:space="preserve">modernizácie a výstavby priestorov pre koncentráciu excelentného výskumu a doktorandského štúdia vrátane zahraničných výskumníkov.                                          </w:t>
      </w:r>
    </w:p>
    <w:p w:rsidR="00677D5F" w:rsidRPr="007F3D93" w:rsidRDefault="00677D5F" w:rsidP="00677D5F">
      <w:pPr>
        <w:jc w:val="both"/>
        <w:rPr>
          <w:sz w:val="20"/>
          <w:szCs w:val="20"/>
        </w:rPr>
      </w:pPr>
      <w:r w:rsidRPr="007F3D93">
        <w:rPr>
          <w:b/>
          <w:sz w:val="20"/>
          <w:szCs w:val="20"/>
        </w:rPr>
        <w:t xml:space="preserve">Fond </w:t>
      </w:r>
      <w:r w:rsidRPr="00EF0988">
        <w:rPr>
          <w:b/>
          <w:sz w:val="20"/>
          <w:szCs w:val="20"/>
          <w:u w:val="single"/>
        </w:rPr>
        <w:t>EFRR</w:t>
      </w:r>
      <w:r w:rsidRPr="007F3D93">
        <w:rPr>
          <w:sz w:val="20"/>
          <w:szCs w:val="20"/>
        </w:rPr>
        <w:t xml:space="preserve"> podporí v rámci opatrenia optimalizácie, rozvoja a modernizácie výskumnej infraštruktúry modernizáciu (upgrade) a</w:t>
      </w:r>
      <w:r w:rsidR="001E70C9">
        <w:rPr>
          <w:sz w:val="20"/>
          <w:szCs w:val="20"/>
        </w:rPr>
        <w:t> </w:t>
      </w:r>
      <w:r w:rsidRPr="007F3D93">
        <w:rPr>
          <w:sz w:val="20"/>
          <w:szCs w:val="20"/>
        </w:rPr>
        <w:t>zabezpečenie prevádzky hardvérovej a softvérovej IKT infraštruktúry pre výskum a vývoj a prepájanie výskumných dátových centier. Z </w:t>
      </w:r>
      <w:r w:rsidRPr="00677D5F">
        <w:rPr>
          <w:b/>
          <w:sz w:val="20"/>
          <w:szCs w:val="20"/>
          <w:u w:val="single"/>
        </w:rPr>
        <w:t>POO</w:t>
      </w:r>
      <w:r w:rsidRPr="00236EFC">
        <w:rPr>
          <w:sz w:val="20"/>
          <w:szCs w:val="20"/>
        </w:rPr>
        <w:t xml:space="preserve"> </w:t>
      </w:r>
      <w:r w:rsidRPr="007F3D93">
        <w:rPr>
          <w:sz w:val="20"/>
          <w:szCs w:val="20"/>
        </w:rPr>
        <w:t xml:space="preserve">bude </w:t>
      </w:r>
      <w:r w:rsidR="005A6FF5">
        <w:rPr>
          <w:sz w:val="20"/>
          <w:szCs w:val="20"/>
        </w:rPr>
        <w:t xml:space="preserve">financovaná </w:t>
      </w:r>
      <w:r w:rsidRPr="007F3D93">
        <w:rPr>
          <w:sz w:val="20"/>
          <w:szCs w:val="20"/>
        </w:rPr>
        <w:t>investícia do</w:t>
      </w:r>
      <w:r w:rsidR="005A6FF5">
        <w:rPr>
          <w:sz w:val="20"/>
          <w:szCs w:val="20"/>
        </w:rPr>
        <w:t xml:space="preserve"> </w:t>
      </w:r>
      <w:r w:rsidR="005A6FF5" w:rsidRPr="005A6FF5">
        <w:rPr>
          <w:sz w:val="20"/>
          <w:szCs w:val="20"/>
        </w:rPr>
        <w:t>IT podpor</w:t>
      </w:r>
      <w:r w:rsidR="005A6FF5">
        <w:rPr>
          <w:sz w:val="20"/>
          <w:szCs w:val="20"/>
        </w:rPr>
        <w:t>y</w:t>
      </w:r>
      <w:r w:rsidR="005A6FF5" w:rsidRPr="005A6FF5">
        <w:rPr>
          <w:sz w:val="20"/>
          <w:szCs w:val="20"/>
        </w:rPr>
        <w:t xml:space="preserve"> jednotného grantového systému výskumu a</w:t>
      </w:r>
      <w:r w:rsidR="005A6FF5">
        <w:rPr>
          <w:sz w:val="20"/>
          <w:szCs w:val="20"/>
        </w:rPr>
        <w:t> </w:t>
      </w:r>
      <w:r w:rsidR="005A6FF5" w:rsidRPr="005A6FF5">
        <w:rPr>
          <w:sz w:val="20"/>
          <w:szCs w:val="20"/>
        </w:rPr>
        <w:t>vývoja</w:t>
      </w:r>
      <w:r w:rsidR="005A6FF5">
        <w:rPr>
          <w:sz w:val="20"/>
          <w:szCs w:val="20"/>
        </w:rPr>
        <w:t>.</w:t>
      </w:r>
    </w:p>
    <w:p w:rsidR="007C6BFF" w:rsidRDefault="00677D5F" w:rsidP="00677D5F">
      <w:pPr>
        <w:jc w:val="both"/>
        <w:rPr>
          <w:sz w:val="20"/>
          <w:szCs w:val="20"/>
        </w:rPr>
      </w:pPr>
      <w:r w:rsidRPr="007F3D93">
        <w:rPr>
          <w:b/>
          <w:sz w:val="20"/>
          <w:szCs w:val="20"/>
        </w:rPr>
        <w:t xml:space="preserve">Fond </w:t>
      </w:r>
      <w:r w:rsidRPr="00EF0988">
        <w:rPr>
          <w:b/>
          <w:sz w:val="20"/>
          <w:szCs w:val="20"/>
          <w:u w:val="single"/>
        </w:rPr>
        <w:t>EFRR</w:t>
      </w:r>
      <w:r w:rsidRPr="007F3D93">
        <w:rPr>
          <w:sz w:val="20"/>
          <w:szCs w:val="20"/>
        </w:rPr>
        <w:t xml:space="preserve"> poskytne finančnú pomoc v</w:t>
      </w:r>
      <w:r w:rsidR="001E70C9">
        <w:rPr>
          <w:sz w:val="20"/>
          <w:szCs w:val="20"/>
        </w:rPr>
        <w:t> </w:t>
      </w:r>
      <w:r w:rsidRPr="007F3D93">
        <w:rPr>
          <w:sz w:val="20"/>
          <w:szCs w:val="20"/>
        </w:rPr>
        <w:t>rámci</w:t>
      </w:r>
      <w:r w:rsidR="001E70C9">
        <w:rPr>
          <w:sz w:val="20"/>
          <w:szCs w:val="20"/>
        </w:rPr>
        <w:t xml:space="preserve"> </w:t>
      </w:r>
      <w:r w:rsidRPr="007F3D93">
        <w:rPr>
          <w:sz w:val="20"/>
          <w:szCs w:val="20"/>
        </w:rPr>
        <w:t xml:space="preserve">medzisektorovej spolupráce v oblasti výskumu na podporu dlhodobého strategického výskumu, priemyselného výskumu v súlade s SK RIS3 2021+ doménami prostredníctvom partnerstiev v rámci viac rozvinutého regiónu. Zatiaľ čo </w:t>
      </w:r>
      <w:r w:rsidRPr="00677D5F">
        <w:rPr>
          <w:b/>
          <w:sz w:val="20"/>
          <w:szCs w:val="20"/>
          <w:u w:val="single"/>
        </w:rPr>
        <w:t>POO</w:t>
      </w:r>
      <w:r w:rsidRPr="007F3D93">
        <w:rPr>
          <w:sz w:val="20"/>
          <w:szCs w:val="20"/>
        </w:rPr>
        <w:t xml:space="preserve"> podporí spoluprácu firiem, akademického sektora a organizácií výskumu a vývoja cez transformačné konzorciá v menej rozvinutých regiónoch.</w:t>
      </w:r>
    </w:p>
    <w:p w:rsidR="00677D5F" w:rsidRPr="007F3D93" w:rsidRDefault="00677D5F" w:rsidP="00677D5F">
      <w:pPr>
        <w:jc w:val="both"/>
        <w:rPr>
          <w:sz w:val="20"/>
          <w:szCs w:val="20"/>
        </w:rPr>
      </w:pPr>
      <w:r w:rsidRPr="007F3D93">
        <w:rPr>
          <w:sz w:val="20"/>
          <w:szCs w:val="20"/>
        </w:rPr>
        <w:t xml:space="preserve">Hlavná deliaca línia finančnej podpory pre výskumné aktivity je zohľadnená v relevancii k SK RIS3 2021+. </w:t>
      </w:r>
      <w:r w:rsidRPr="00EF0988">
        <w:rPr>
          <w:b/>
          <w:sz w:val="20"/>
          <w:szCs w:val="20"/>
          <w:u w:val="single"/>
        </w:rPr>
        <w:t>EFRR</w:t>
      </w:r>
      <w:r w:rsidRPr="007F3D93">
        <w:rPr>
          <w:sz w:val="20"/>
          <w:szCs w:val="20"/>
        </w:rPr>
        <w:t xml:space="preserve"> podporí výskumné aktivity doktorandov, postdoktorantov a mladých výskumníkov, ktorí etablujú svoju vedeckú kariéru naviazané na domény RIS3. </w:t>
      </w:r>
      <w:r w:rsidRPr="00677D5F">
        <w:rPr>
          <w:b/>
          <w:sz w:val="20"/>
          <w:szCs w:val="20"/>
          <w:u w:val="single"/>
        </w:rPr>
        <w:t>POO</w:t>
      </w:r>
      <w:r w:rsidRPr="007F3D93">
        <w:rPr>
          <w:sz w:val="20"/>
          <w:szCs w:val="20"/>
        </w:rPr>
        <w:t xml:space="preserve"> podporí integračné programy pre cieľové skupiny zahraničných študentov, vysokokvalifikovaných pracovníkov a ich rodinných príslušníkov a navrátilcov zo zahraničia bez ohľadu na domény RIS3.</w:t>
      </w:r>
    </w:p>
    <w:p w:rsidR="00677D5F" w:rsidRDefault="00677D5F" w:rsidP="00677D5F">
      <w:pPr>
        <w:jc w:val="both"/>
        <w:rPr>
          <w:sz w:val="20"/>
          <w:szCs w:val="20"/>
        </w:rPr>
      </w:pPr>
      <w:r w:rsidRPr="007F3D93">
        <w:rPr>
          <w:sz w:val="20"/>
          <w:szCs w:val="20"/>
        </w:rPr>
        <w:lastRenderedPageBreak/>
        <w:t>Z fondu</w:t>
      </w:r>
      <w:r w:rsidRPr="007F3D93">
        <w:rPr>
          <w:b/>
          <w:sz w:val="20"/>
          <w:szCs w:val="20"/>
        </w:rPr>
        <w:t xml:space="preserve"> </w:t>
      </w:r>
      <w:r w:rsidRPr="00EF0988">
        <w:rPr>
          <w:b/>
          <w:sz w:val="20"/>
          <w:szCs w:val="20"/>
          <w:u w:val="single"/>
        </w:rPr>
        <w:t>EFRR</w:t>
      </w:r>
      <w:r w:rsidRPr="007F3D93">
        <w:rPr>
          <w:sz w:val="20"/>
          <w:szCs w:val="20"/>
        </w:rPr>
        <w:t xml:space="preserve"> sa podporia profesionálne „mladí“ výskumní pracovníci a vedeckí pracovníci po ukončení </w:t>
      </w:r>
      <w:r w:rsidR="0058342F">
        <w:rPr>
          <w:sz w:val="20"/>
          <w:szCs w:val="20"/>
        </w:rPr>
        <w:t xml:space="preserve">doktorandského </w:t>
      </w:r>
      <w:r w:rsidRPr="007F3D93">
        <w:rPr>
          <w:sz w:val="20"/>
          <w:szCs w:val="20"/>
        </w:rPr>
        <w:t xml:space="preserve">štúdia a ich zapojenie do spolupráce s podnikmi, národnej a medzinárodnej spolupráce vo výskume a vývoji. Z </w:t>
      </w:r>
      <w:r w:rsidRPr="00677D5F">
        <w:rPr>
          <w:b/>
          <w:sz w:val="20"/>
          <w:szCs w:val="20"/>
          <w:u w:val="single"/>
        </w:rPr>
        <w:t>POO</w:t>
      </w:r>
      <w:r w:rsidRPr="007F3D93">
        <w:rPr>
          <w:b/>
          <w:sz w:val="20"/>
          <w:szCs w:val="20"/>
        </w:rPr>
        <w:t xml:space="preserve"> </w:t>
      </w:r>
      <w:r w:rsidRPr="007F3D93">
        <w:rPr>
          <w:sz w:val="20"/>
          <w:szCs w:val="20"/>
        </w:rPr>
        <w:t>bude realizovaná systémová podpora na vytvorenie podmienok na prílev vysokokvalifikovaných pracovníkov do SR.</w:t>
      </w:r>
    </w:p>
    <w:p w:rsidR="00117339" w:rsidRPr="00117339" w:rsidRDefault="00117339" w:rsidP="00117339">
      <w:pPr>
        <w:jc w:val="both"/>
        <w:rPr>
          <w:sz w:val="20"/>
          <w:szCs w:val="20"/>
        </w:rPr>
      </w:pPr>
      <w:r>
        <w:rPr>
          <w:sz w:val="20"/>
          <w:szCs w:val="20"/>
        </w:rPr>
        <w:t xml:space="preserve">Z fondu </w:t>
      </w:r>
      <w:r w:rsidRPr="00117339">
        <w:rPr>
          <w:b/>
          <w:sz w:val="20"/>
          <w:szCs w:val="20"/>
          <w:u w:val="single"/>
        </w:rPr>
        <w:t>EFRR</w:t>
      </w:r>
      <w:r>
        <w:rPr>
          <w:sz w:val="20"/>
          <w:szCs w:val="20"/>
        </w:rPr>
        <w:t xml:space="preserve"> sa podporia projekty</w:t>
      </w:r>
      <w:r w:rsidRPr="007E4832">
        <w:rPr>
          <w:sz w:val="20"/>
          <w:szCs w:val="20"/>
        </w:rPr>
        <w:t xml:space="preserve"> na základe prioritných oblastí v dimenzii Digitálna transformácia Slovenska,</w:t>
      </w:r>
      <w:r>
        <w:rPr>
          <w:sz w:val="20"/>
          <w:szCs w:val="20"/>
        </w:rPr>
        <w:t xml:space="preserve"> </w:t>
      </w:r>
      <w:r w:rsidRPr="007E4832">
        <w:rPr>
          <w:sz w:val="20"/>
          <w:szCs w:val="20"/>
        </w:rPr>
        <w:t>a to prijímateľov z menej rozvinutých regiónov</w:t>
      </w:r>
      <w:r>
        <w:rPr>
          <w:sz w:val="20"/>
          <w:szCs w:val="20"/>
        </w:rPr>
        <w:t>. Z </w:t>
      </w:r>
      <w:r w:rsidRPr="00117339">
        <w:rPr>
          <w:b/>
          <w:sz w:val="20"/>
          <w:szCs w:val="20"/>
          <w:u w:val="single"/>
        </w:rPr>
        <w:t>POO</w:t>
      </w:r>
      <w:r w:rsidRPr="00117339">
        <w:rPr>
          <w:sz w:val="20"/>
          <w:szCs w:val="20"/>
        </w:rPr>
        <w:t xml:space="preserve"> budú </w:t>
      </w:r>
      <w:r w:rsidRPr="004B00AA">
        <w:rPr>
          <w:sz w:val="20"/>
          <w:szCs w:val="20"/>
        </w:rPr>
        <w:t>hradené</w:t>
      </w:r>
      <w:r w:rsidRPr="00117339">
        <w:rPr>
          <w:sz w:val="20"/>
          <w:szCs w:val="20"/>
        </w:rPr>
        <w:t xml:space="preserve"> </w:t>
      </w:r>
      <w:r w:rsidRPr="007E4832">
        <w:rPr>
          <w:sz w:val="20"/>
          <w:szCs w:val="20"/>
        </w:rPr>
        <w:t>Výskumno-vývojové projekty v súlade s doménou 3 – Digitálna transformácia Slovenska Stratégie inteligentnej špecializácie RIS3, a to pre prijímateľov z viac rozvinutých regiónov</w:t>
      </w:r>
      <w:r w:rsidRPr="00117339">
        <w:rPr>
          <w:sz w:val="20"/>
          <w:szCs w:val="20"/>
        </w:rPr>
        <w:t>.</w:t>
      </w:r>
    </w:p>
    <w:p w:rsidR="00117339" w:rsidRDefault="00117339" w:rsidP="00117339">
      <w:pPr>
        <w:jc w:val="both"/>
        <w:rPr>
          <w:sz w:val="20"/>
          <w:szCs w:val="20"/>
        </w:rPr>
      </w:pPr>
      <w:r>
        <w:rPr>
          <w:sz w:val="20"/>
          <w:szCs w:val="20"/>
        </w:rPr>
        <w:t xml:space="preserve">Z fondu </w:t>
      </w:r>
      <w:r w:rsidRPr="00117339">
        <w:rPr>
          <w:b/>
          <w:sz w:val="20"/>
          <w:szCs w:val="20"/>
          <w:u w:val="single"/>
        </w:rPr>
        <w:t xml:space="preserve">EFRR </w:t>
      </w:r>
      <w:r>
        <w:rPr>
          <w:sz w:val="20"/>
          <w:szCs w:val="20"/>
        </w:rPr>
        <w:t xml:space="preserve">sa  dofinancujú  úspešné slovenské projekty podporené </w:t>
      </w:r>
      <w:r w:rsidRPr="007E4832">
        <w:rPr>
          <w:sz w:val="20"/>
          <w:szCs w:val="20"/>
        </w:rPr>
        <w:t xml:space="preserve"> z nasledovných priamo riadených programov EÚ: Digitálna Európa, CEF-Digital v období 2025-2030</w:t>
      </w:r>
      <w:r>
        <w:rPr>
          <w:sz w:val="20"/>
          <w:szCs w:val="20"/>
        </w:rPr>
        <w:t>. Z </w:t>
      </w:r>
      <w:r w:rsidRPr="00117339">
        <w:rPr>
          <w:b/>
          <w:sz w:val="20"/>
          <w:szCs w:val="20"/>
          <w:u w:val="single"/>
        </w:rPr>
        <w:t>POO</w:t>
      </w:r>
      <w:r w:rsidRPr="00117339">
        <w:rPr>
          <w:sz w:val="20"/>
          <w:szCs w:val="20"/>
        </w:rPr>
        <w:t xml:space="preserve"> </w:t>
      </w:r>
      <w:r w:rsidRPr="00BA54A1">
        <w:rPr>
          <w:sz w:val="20"/>
          <w:szCs w:val="20"/>
        </w:rPr>
        <w:t>sa dofinancujú úspešní žiadatelia z priamo riadených programov EÚ (Digitálna Európa, CEF-Telecom a CEF-Digital  v období 2022-2025.</w:t>
      </w:r>
    </w:p>
    <w:p w:rsidR="00117339" w:rsidRDefault="00117339" w:rsidP="00117339">
      <w:pPr>
        <w:jc w:val="both"/>
        <w:rPr>
          <w:sz w:val="20"/>
          <w:szCs w:val="20"/>
        </w:rPr>
      </w:pPr>
      <w:r>
        <w:rPr>
          <w:sz w:val="20"/>
          <w:szCs w:val="20"/>
        </w:rPr>
        <w:t xml:space="preserve">Z fondu </w:t>
      </w:r>
      <w:r w:rsidRPr="00117339">
        <w:rPr>
          <w:b/>
          <w:sz w:val="20"/>
          <w:szCs w:val="20"/>
          <w:u w:val="single"/>
        </w:rPr>
        <w:t xml:space="preserve">EFRR </w:t>
      </w:r>
      <w:r w:rsidRPr="00BA54A1">
        <w:rPr>
          <w:sz w:val="20"/>
          <w:szCs w:val="20"/>
        </w:rPr>
        <w:t>sa podporí rozvoj siete európskych centier digitálnych inovácií (ECDI)</w:t>
      </w:r>
      <w:r>
        <w:rPr>
          <w:sz w:val="20"/>
          <w:szCs w:val="20"/>
        </w:rPr>
        <w:t xml:space="preserve"> </w:t>
      </w:r>
      <w:r w:rsidRPr="00BA54A1">
        <w:rPr>
          <w:sz w:val="20"/>
          <w:szCs w:val="20"/>
        </w:rPr>
        <w:t>v období 2026-2030</w:t>
      </w:r>
      <w:r>
        <w:rPr>
          <w:sz w:val="20"/>
          <w:szCs w:val="20"/>
        </w:rPr>
        <w:t>. Z </w:t>
      </w:r>
      <w:r w:rsidRPr="00117339">
        <w:rPr>
          <w:b/>
          <w:sz w:val="20"/>
          <w:szCs w:val="20"/>
          <w:u w:val="single"/>
        </w:rPr>
        <w:t>POO</w:t>
      </w:r>
      <w:r w:rsidRPr="00117339">
        <w:rPr>
          <w:sz w:val="20"/>
          <w:szCs w:val="20"/>
        </w:rPr>
        <w:t xml:space="preserve"> </w:t>
      </w:r>
      <w:r w:rsidRPr="00BA54A1">
        <w:rPr>
          <w:sz w:val="20"/>
          <w:szCs w:val="20"/>
        </w:rPr>
        <w:t xml:space="preserve">sa </w:t>
      </w:r>
      <w:r>
        <w:rPr>
          <w:sz w:val="20"/>
          <w:szCs w:val="20"/>
        </w:rPr>
        <w:t xml:space="preserve">bude financovať </w:t>
      </w:r>
      <w:r w:rsidRPr="00BA54A1">
        <w:rPr>
          <w:sz w:val="20"/>
          <w:szCs w:val="20"/>
        </w:rPr>
        <w:t>vybudovanie siete  ECDI a centier DCI pre podporu slovenských MSP</w:t>
      </w:r>
      <w:r>
        <w:rPr>
          <w:sz w:val="20"/>
          <w:szCs w:val="20"/>
        </w:rPr>
        <w:t xml:space="preserve"> v období 2022-2025</w:t>
      </w:r>
      <w:r w:rsidRPr="00BA54A1">
        <w:rPr>
          <w:sz w:val="20"/>
          <w:szCs w:val="20"/>
        </w:rPr>
        <w:t>.</w:t>
      </w:r>
    </w:p>
    <w:p w:rsidR="00117339" w:rsidRPr="00117339" w:rsidRDefault="00117339" w:rsidP="00117339">
      <w:pPr>
        <w:jc w:val="both"/>
        <w:rPr>
          <w:sz w:val="20"/>
          <w:szCs w:val="20"/>
        </w:rPr>
      </w:pPr>
      <w:r>
        <w:rPr>
          <w:sz w:val="20"/>
          <w:szCs w:val="20"/>
        </w:rPr>
        <w:t xml:space="preserve">Z fondu </w:t>
      </w:r>
      <w:r w:rsidRPr="00117339">
        <w:rPr>
          <w:b/>
          <w:sz w:val="20"/>
          <w:szCs w:val="20"/>
          <w:u w:val="single"/>
        </w:rPr>
        <w:t>EFRR</w:t>
      </w:r>
      <w:r w:rsidRPr="00117339">
        <w:rPr>
          <w:sz w:val="20"/>
          <w:szCs w:val="20"/>
        </w:rPr>
        <w:t xml:space="preserve"> </w:t>
      </w:r>
      <w:r w:rsidRPr="005C706B">
        <w:rPr>
          <w:sz w:val="20"/>
          <w:szCs w:val="20"/>
        </w:rPr>
        <w:t>sa podporí interoperabilita údajov, podpora čistenia údajov a zvyšovanie kvality údajov, zavádzanie analytických údajov, ktoré nie sú podporené z</w:t>
      </w:r>
      <w:r>
        <w:rPr>
          <w:sz w:val="20"/>
          <w:szCs w:val="20"/>
        </w:rPr>
        <w:t> </w:t>
      </w:r>
      <w:r w:rsidRPr="00117339">
        <w:rPr>
          <w:b/>
          <w:sz w:val="20"/>
          <w:szCs w:val="20"/>
          <w:u w:val="single"/>
        </w:rPr>
        <w:t>POO</w:t>
      </w:r>
      <w:r w:rsidRPr="005C706B">
        <w:rPr>
          <w:sz w:val="20"/>
          <w:szCs w:val="20"/>
        </w:rPr>
        <w:t>, pričom z</w:t>
      </w:r>
      <w:r w:rsidRPr="00117339">
        <w:rPr>
          <w:sz w:val="20"/>
          <w:szCs w:val="20"/>
        </w:rPr>
        <w:t xml:space="preserve"> POO </w:t>
      </w:r>
      <w:r>
        <w:rPr>
          <w:sz w:val="20"/>
          <w:szCs w:val="20"/>
        </w:rPr>
        <w:t xml:space="preserve"> bude podporená i</w:t>
      </w:r>
      <w:r w:rsidRPr="005C706B">
        <w:rPr>
          <w:sz w:val="20"/>
          <w:szCs w:val="20"/>
        </w:rPr>
        <w:t>nteroperabilita údajov, podpora čistenia údajov a zvyšovanie kvality údajov, z</w:t>
      </w:r>
      <w:r>
        <w:rPr>
          <w:sz w:val="20"/>
          <w:szCs w:val="20"/>
        </w:rPr>
        <w:t>avádzanie analytických údajov  na 42 úsekoch</w:t>
      </w:r>
      <w:r w:rsidRPr="005C706B">
        <w:rPr>
          <w:sz w:val="20"/>
          <w:szCs w:val="20"/>
        </w:rPr>
        <w:t xml:space="preserve"> verejnej správy</w:t>
      </w:r>
      <w:r w:rsidRPr="00117339">
        <w:rPr>
          <w:sz w:val="20"/>
          <w:szCs w:val="20"/>
        </w:rPr>
        <w:t>.</w:t>
      </w:r>
    </w:p>
    <w:p w:rsidR="00117339" w:rsidRDefault="00117339" w:rsidP="00117339">
      <w:pPr>
        <w:jc w:val="both"/>
        <w:rPr>
          <w:sz w:val="20"/>
          <w:szCs w:val="20"/>
        </w:rPr>
      </w:pPr>
      <w:r>
        <w:rPr>
          <w:sz w:val="20"/>
          <w:szCs w:val="20"/>
        </w:rPr>
        <w:t xml:space="preserve">Z fondu </w:t>
      </w:r>
      <w:r w:rsidRPr="00117339">
        <w:rPr>
          <w:b/>
          <w:sz w:val="20"/>
          <w:szCs w:val="20"/>
          <w:u w:val="single"/>
        </w:rPr>
        <w:t>EFRR</w:t>
      </w:r>
      <w:r w:rsidRPr="00117339">
        <w:rPr>
          <w:sz w:val="20"/>
          <w:szCs w:val="20"/>
        </w:rPr>
        <w:t xml:space="preserve"> </w:t>
      </w:r>
      <w:r w:rsidRPr="00BC1E2B">
        <w:rPr>
          <w:sz w:val="20"/>
          <w:szCs w:val="20"/>
        </w:rPr>
        <w:t>sa podporí budovanie životných situácií, ktoré nie sú podporené z POO</w:t>
      </w:r>
      <w:r w:rsidRPr="00117339">
        <w:rPr>
          <w:sz w:val="20"/>
          <w:szCs w:val="20"/>
        </w:rPr>
        <w:t xml:space="preserve"> . </w:t>
      </w:r>
      <w:r w:rsidRPr="00BC1E2B">
        <w:rPr>
          <w:sz w:val="20"/>
          <w:szCs w:val="20"/>
        </w:rPr>
        <w:t>Z</w:t>
      </w:r>
      <w:r w:rsidRPr="00117339">
        <w:rPr>
          <w:sz w:val="20"/>
          <w:szCs w:val="20"/>
        </w:rPr>
        <w:t xml:space="preserve"> </w:t>
      </w:r>
      <w:r w:rsidRPr="00117339">
        <w:rPr>
          <w:b/>
          <w:sz w:val="20"/>
          <w:szCs w:val="20"/>
          <w:u w:val="single"/>
        </w:rPr>
        <w:t>POO</w:t>
      </w:r>
      <w:r w:rsidRPr="00117339">
        <w:rPr>
          <w:sz w:val="20"/>
          <w:szCs w:val="20"/>
        </w:rPr>
        <w:t xml:space="preserve"> </w:t>
      </w:r>
      <w:r w:rsidRPr="00BC1E2B">
        <w:rPr>
          <w:sz w:val="20"/>
          <w:szCs w:val="20"/>
        </w:rPr>
        <w:t>sa podporí 16 životných situácií (nový frontend a backend a úprava existujúcich agendových systémov</w:t>
      </w:r>
      <w:r>
        <w:rPr>
          <w:sz w:val="20"/>
          <w:szCs w:val="20"/>
        </w:rPr>
        <w:t>.</w:t>
      </w:r>
    </w:p>
    <w:p w:rsidR="00117339" w:rsidRDefault="00117339" w:rsidP="00117339">
      <w:pPr>
        <w:jc w:val="both"/>
        <w:rPr>
          <w:sz w:val="20"/>
          <w:szCs w:val="20"/>
        </w:rPr>
      </w:pPr>
      <w:r>
        <w:rPr>
          <w:sz w:val="20"/>
          <w:szCs w:val="20"/>
        </w:rPr>
        <w:t xml:space="preserve">Z fondu </w:t>
      </w:r>
      <w:r w:rsidRPr="00117339">
        <w:rPr>
          <w:b/>
          <w:sz w:val="20"/>
          <w:szCs w:val="20"/>
          <w:u w:val="single"/>
        </w:rPr>
        <w:t>EFRR</w:t>
      </w:r>
      <w:r w:rsidRPr="00117339">
        <w:rPr>
          <w:sz w:val="20"/>
          <w:szCs w:val="20"/>
        </w:rPr>
        <w:t xml:space="preserve"> </w:t>
      </w:r>
      <w:r>
        <w:rPr>
          <w:sz w:val="20"/>
          <w:szCs w:val="20"/>
        </w:rPr>
        <w:t xml:space="preserve">budú finančné prostriedky použité na </w:t>
      </w:r>
      <w:r w:rsidRPr="00B02443">
        <w:rPr>
          <w:sz w:val="20"/>
          <w:szCs w:val="20"/>
        </w:rPr>
        <w:t>školenia zamerané na e-learning zamestnancov verejnej správy (úroveň L1  - 1. školenie 4.550 zamestnancov  +  2. školenie 4.550 zamestnancov  a úroveň L2 1.365 zamestnancov), školenie pre 30 zamestnancov štátnej správy, školenia pre audítorov.</w:t>
      </w:r>
      <w:r>
        <w:rPr>
          <w:sz w:val="20"/>
          <w:szCs w:val="20"/>
        </w:rPr>
        <w:t xml:space="preserve"> Z </w:t>
      </w:r>
      <w:r w:rsidRPr="00117339">
        <w:rPr>
          <w:b/>
          <w:sz w:val="20"/>
          <w:szCs w:val="20"/>
          <w:u w:val="single"/>
        </w:rPr>
        <w:t>POO</w:t>
      </w:r>
      <w:r w:rsidRPr="00117339">
        <w:rPr>
          <w:sz w:val="20"/>
          <w:szCs w:val="20"/>
        </w:rPr>
        <w:t xml:space="preserve"> </w:t>
      </w:r>
      <w:r w:rsidRPr="00B02443">
        <w:rPr>
          <w:sz w:val="20"/>
          <w:szCs w:val="20"/>
        </w:rPr>
        <w:t xml:space="preserve"> </w:t>
      </w:r>
      <w:r>
        <w:rPr>
          <w:sz w:val="20"/>
          <w:szCs w:val="20"/>
        </w:rPr>
        <w:t>sa finančné prostriedky použijú na  e</w:t>
      </w:r>
      <w:r w:rsidRPr="00B02443">
        <w:rPr>
          <w:sz w:val="20"/>
          <w:szCs w:val="20"/>
        </w:rPr>
        <w:t>fektívne a systematické vzdelávanie pracovníkov KIB - školenia preškolenia v oblasti KIB v prostredí verejnej správy pre 571 pracovníkov.</w:t>
      </w:r>
    </w:p>
    <w:p w:rsidR="00117339" w:rsidRDefault="00117339" w:rsidP="00117339">
      <w:pPr>
        <w:jc w:val="both"/>
        <w:rPr>
          <w:sz w:val="20"/>
          <w:szCs w:val="20"/>
        </w:rPr>
      </w:pPr>
      <w:r>
        <w:rPr>
          <w:sz w:val="20"/>
          <w:szCs w:val="20"/>
        </w:rPr>
        <w:t xml:space="preserve">Z fondu </w:t>
      </w:r>
      <w:r w:rsidRPr="00117339">
        <w:rPr>
          <w:b/>
          <w:sz w:val="20"/>
          <w:szCs w:val="20"/>
          <w:u w:val="single"/>
        </w:rPr>
        <w:t xml:space="preserve">EFRR </w:t>
      </w:r>
      <w:r w:rsidRPr="004B00AA">
        <w:rPr>
          <w:sz w:val="20"/>
          <w:szCs w:val="20"/>
        </w:rPr>
        <w:t>v rámci kybernetickej</w:t>
      </w:r>
      <w:r>
        <w:rPr>
          <w:sz w:val="20"/>
          <w:szCs w:val="20"/>
        </w:rPr>
        <w:t xml:space="preserve"> a informačnej bezpečnosti budú aktivity zamerané</w:t>
      </w:r>
      <w:r w:rsidRPr="004B00AA">
        <w:rPr>
          <w:sz w:val="20"/>
          <w:szCs w:val="20"/>
        </w:rPr>
        <w:t xml:space="preserve"> na zlepšovanie  technologického , procesného a organizačného zabezpečenia zručností a kapacít  v prostredí orgánov štátnej a verejnej správy  pre menšie obce do 6.000 obyvateľov ("balík pre obce " - technologic</w:t>
      </w:r>
      <w:r>
        <w:rPr>
          <w:sz w:val="20"/>
          <w:szCs w:val="20"/>
        </w:rPr>
        <w:t>ká obmena  a doplnenie HW, zdieľ</w:t>
      </w:r>
      <w:r w:rsidRPr="004B00AA">
        <w:rPr>
          <w:sz w:val="20"/>
          <w:szCs w:val="20"/>
        </w:rPr>
        <w:t>aní experti pre 10 obcí</w:t>
      </w:r>
      <w:r>
        <w:rPr>
          <w:sz w:val="20"/>
          <w:szCs w:val="20"/>
        </w:rPr>
        <w:t>).  Z </w:t>
      </w:r>
      <w:r w:rsidRPr="00117339">
        <w:rPr>
          <w:b/>
          <w:sz w:val="20"/>
          <w:szCs w:val="20"/>
          <w:u w:val="single"/>
        </w:rPr>
        <w:t>POO</w:t>
      </w:r>
      <w:r w:rsidRPr="00117339">
        <w:rPr>
          <w:sz w:val="20"/>
          <w:szCs w:val="20"/>
        </w:rPr>
        <w:t xml:space="preserve"> </w:t>
      </w:r>
      <w:r w:rsidRPr="004B00AA">
        <w:rPr>
          <w:sz w:val="20"/>
          <w:szCs w:val="20"/>
        </w:rPr>
        <w:t>sa finančné prostriedky použijú na vypracovanie jednotného metodického rámca pre implementáciu opatrení KIB pre  MIRRI, orgány verenej moci a odbornú verejnosť vypracovanie metodiky kybernetickej bezpečnosti</w:t>
      </w:r>
      <w:r>
        <w:rPr>
          <w:sz w:val="20"/>
          <w:szCs w:val="20"/>
        </w:rPr>
        <w:t>.</w:t>
      </w:r>
    </w:p>
    <w:p w:rsidR="00117339" w:rsidRDefault="00117339" w:rsidP="00117339">
      <w:pPr>
        <w:jc w:val="both"/>
        <w:rPr>
          <w:sz w:val="20"/>
          <w:szCs w:val="20"/>
        </w:rPr>
      </w:pPr>
      <w:r>
        <w:rPr>
          <w:sz w:val="20"/>
          <w:szCs w:val="20"/>
        </w:rPr>
        <w:t xml:space="preserve">Z fondu </w:t>
      </w:r>
      <w:r w:rsidRPr="00117339">
        <w:rPr>
          <w:b/>
          <w:sz w:val="20"/>
          <w:szCs w:val="20"/>
          <w:u w:val="single"/>
        </w:rPr>
        <w:t xml:space="preserve">EFRR </w:t>
      </w:r>
      <w:r w:rsidRPr="00876C75">
        <w:rPr>
          <w:sz w:val="20"/>
          <w:szCs w:val="20"/>
        </w:rPr>
        <w:t>sa vybudujú špecializované inštitúcie KIB  vo fáze II</w:t>
      </w:r>
      <w:r>
        <w:rPr>
          <w:sz w:val="20"/>
          <w:szCs w:val="20"/>
        </w:rPr>
        <w:t>. (</w:t>
      </w:r>
      <w:r w:rsidRPr="00876C75">
        <w:rPr>
          <w:sz w:val="20"/>
          <w:szCs w:val="20"/>
        </w:rPr>
        <w:t>v ob</w:t>
      </w:r>
      <w:r>
        <w:rPr>
          <w:sz w:val="20"/>
          <w:szCs w:val="20"/>
        </w:rPr>
        <w:t xml:space="preserve">dobí 2023- 2029) pre </w:t>
      </w:r>
      <w:r w:rsidRPr="00876C75">
        <w:rPr>
          <w:sz w:val="20"/>
          <w:szCs w:val="20"/>
        </w:rPr>
        <w:t xml:space="preserve"> cieľovú skupinu MRR</w:t>
      </w:r>
      <w:r w:rsidRPr="00117339">
        <w:rPr>
          <w:sz w:val="20"/>
          <w:szCs w:val="20"/>
        </w:rPr>
        <w:t xml:space="preserve">. </w:t>
      </w:r>
      <w:r w:rsidRPr="00876C75">
        <w:rPr>
          <w:sz w:val="20"/>
          <w:szCs w:val="20"/>
        </w:rPr>
        <w:t>Z </w:t>
      </w:r>
      <w:r w:rsidRPr="00117339">
        <w:rPr>
          <w:b/>
          <w:sz w:val="20"/>
          <w:szCs w:val="20"/>
          <w:u w:val="single"/>
        </w:rPr>
        <w:t>POO</w:t>
      </w:r>
      <w:r w:rsidRPr="00117339">
        <w:rPr>
          <w:sz w:val="20"/>
          <w:szCs w:val="20"/>
        </w:rPr>
        <w:t xml:space="preserve">  </w:t>
      </w:r>
      <w:r w:rsidRPr="00876C75">
        <w:rPr>
          <w:sz w:val="20"/>
          <w:szCs w:val="20"/>
        </w:rPr>
        <w:t>sa rekonštruujú a dobudujú priestory kritickej infraštruktúry v období 2021-2025 pre cieľovú skupinu VRR</w:t>
      </w:r>
      <w:r>
        <w:rPr>
          <w:sz w:val="20"/>
          <w:szCs w:val="20"/>
        </w:rPr>
        <w:t>.</w:t>
      </w:r>
    </w:p>
    <w:p w:rsidR="00117339" w:rsidRDefault="00117339" w:rsidP="00117339">
      <w:pPr>
        <w:jc w:val="both"/>
        <w:rPr>
          <w:sz w:val="20"/>
          <w:szCs w:val="20"/>
        </w:rPr>
      </w:pPr>
      <w:r>
        <w:rPr>
          <w:sz w:val="20"/>
          <w:szCs w:val="20"/>
        </w:rPr>
        <w:t xml:space="preserve">Z fondu </w:t>
      </w:r>
      <w:r w:rsidRPr="00117339">
        <w:rPr>
          <w:b/>
          <w:sz w:val="20"/>
          <w:szCs w:val="20"/>
          <w:u w:val="single"/>
        </w:rPr>
        <w:t>EFRR</w:t>
      </w:r>
      <w:r w:rsidRPr="00117339">
        <w:rPr>
          <w:sz w:val="20"/>
          <w:szCs w:val="20"/>
        </w:rPr>
        <w:t xml:space="preserve"> </w:t>
      </w:r>
      <w:r>
        <w:rPr>
          <w:sz w:val="20"/>
          <w:szCs w:val="20"/>
        </w:rPr>
        <w:t>budú finančné prostriedky použité na technologická a hardvérová obmenu -infraštruktúru pre Vládnu jednotk</w:t>
      </w:r>
      <w:r w:rsidRPr="00876C75">
        <w:rPr>
          <w:sz w:val="20"/>
          <w:szCs w:val="20"/>
        </w:rPr>
        <w:t>u CSIRT a</w:t>
      </w:r>
      <w:r>
        <w:rPr>
          <w:sz w:val="20"/>
          <w:szCs w:val="20"/>
        </w:rPr>
        <w:t> </w:t>
      </w:r>
      <w:r w:rsidRPr="00876C75">
        <w:rPr>
          <w:sz w:val="20"/>
          <w:szCs w:val="20"/>
        </w:rPr>
        <w:t>MIRRI</w:t>
      </w:r>
      <w:r>
        <w:rPr>
          <w:sz w:val="20"/>
          <w:szCs w:val="20"/>
        </w:rPr>
        <w:t xml:space="preserve"> SR. </w:t>
      </w:r>
      <w:r w:rsidRPr="009A04E7">
        <w:rPr>
          <w:sz w:val="20"/>
          <w:szCs w:val="20"/>
        </w:rPr>
        <w:t>Z </w:t>
      </w:r>
      <w:r w:rsidRPr="00117339">
        <w:rPr>
          <w:b/>
          <w:sz w:val="20"/>
          <w:szCs w:val="20"/>
          <w:u w:val="single"/>
        </w:rPr>
        <w:t xml:space="preserve">POO </w:t>
      </w:r>
      <w:r w:rsidRPr="00876C75">
        <w:rPr>
          <w:sz w:val="20"/>
          <w:szCs w:val="20"/>
        </w:rPr>
        <w:t>sa vybudujú pracoviská KI s dostatočnou technologickou úrovňou zabezpečenia - hardvér a technológie pre systém včasného varovania</w:t>
      </w:r>
      <w:r>
        <w:rPr>
          <w:sz w:val="20"/>
          <w:szCs w:val="20"/>
        </w:rPr>
        <w:t>.</w:t>
      </w:r>
    </w:p>
    <w:p w:rsidR="00117339" w:rsidRDefault="00117339" w:rsidP="00117339">
      <w:pPr>
        <w:jc w:val="both"/>
        <w:rPr>
          <w:sz w:val="20"/>
          <w:szCs w:val="20"/>
        </w:rPr>
      </w:pPr>
      <w:r>
        <w:rPr>
          <w:sz w:val="20"/>
          <w:szCs w:val="20"/>
        </w:rPr>
        <w:t xml:space="preserve">Z fondu </w:t>
      </w:r>
      <w:r w:rsidRPr="00117339">
        <w:rPr>
          <w:b/>
          <w:sz w:val="20"/>
          <w:szCs w:val="20"/>
          <w:u w:val="single"/>
        </w:rPr>
        <w:t>EFRR</w:t>
      </w:r>
      <w:r w:rsidRPr="00117339">
        <w:rPr>
          <w:sz w:val="20"/>
          <w:szCs w:val="20"/>
        </w:rPr>
        <w:t xml:space="preserve">  budú projekty </w:t>
      </w:r>
      <w:r w:rsidRPr="00876C75">
        <w:rPr>
          <w:sz w:val="20"/>
          <w:szCs w:val="20"/>
        </w:rPr>
        <w:t>zamerané na včasnú detekciu a kybernetické incidenty (Early war</w:t>
      </w:r>
      <w:r>
        <w:rPr>
          <w:sz w:val="20"/>
          <w:szCs w:val="20"/>
        </w:rPr>
        <w:t xml:space="preserve">ning system) v období 2023-2029. </w:t>
      </w:r>
      <w:r w:rsidRPr="009A04E7">
        <w:rPr>
          <w:sz w:val="20"/>
          <w:szCs w:val="20"/>
        </w:rPr>
        <w:t>Z</w:t>
      </w:r>
      <w:r>
        <w:rPr>
          <w:sz w:val="20"/>
          <w:szCs w:val="20"/>
        </w:rPr>
        <w:t> </w:t>
      </w:r>
      <w:r w:rsidRPr="00117339">
        <w:rPr>
          <w:b/>
          <w:sz w:val="20"/>
          <w:szCs w:val="20"/>
          <w:u w:val="single"/>
        </w:rPr>
        <w:t>POO</w:t>
      </w:r>
      <w:r w:rsidRPr="00117339">
        <w:rPr>
          <w:sz w:val="20"/>
          <w:szCs w:val="20"/>
        </w:rPr>
        <w:t xml:space="preserve"> budú projekty </w:t>
      </w:r>
      <w:r w:rsidRPr="00876C75">
        <w:rPr>
          <w:sz w:val="20"/>
          <w:szCs w:val="20"/>
        </w:rPr>
        <w:t>zamerané na</w:t>
      </w:r>
      <w:r>
        <w:rPr>
          <w:sz w:val="20"/>
          <w:szCs w:val="20"/>
        </w:rPr>
        <w:t xml:space="preserve"> </w:t>
      </w:r>
      <w:r w:rsidRPr="00876C75">
        <w:rPr>
          <w:sz w:val="20"/>
          <w:szCs w:val="20"/>
        </w:rPr>
        <w:t>Dobudovanie siete systémov na zachytávanie, zber a vyhodnocovanie informácií a ich zasielanie do bezpečnostných dohľadových centier v rokoch 2021-2024 (fáza I</w:t>
      </w:r>
      <w:r>
        <w:rPr>
          <w:sz w:val="20"/>
          <w:szCs w:val="20"/>
        </w:rPr>
        <w:t xml:space="preserve">). </w:t>
      </w:r>
    </w:p>
    <w:p w:rsidR="00117339" w:rsidRDefault="00117339" w:rsidP="00117339">
      <w:pPr>
        <w:jc w:val="both"/>
        <w:rPr>
          <w:sz w:val="20"/>
          <w:szCs w:val="20"/>
        </w:rPr>
      </w:pPr>
      <w:r>
        <w:rPr>
          <w:sz w:val="20"/>
          <w:szCs w:val="20"/>
        </w:rPr>
        <w:lastRenderedPageBreak/>
        <w:t xml:space="preserve">Z fondu </w:t>
      </w:r>
      <w:r w:rsidRPr="00117339">
        <w:rPr>
          <w:b/>
          <w:sz w:val="20"/>
          <w:szCs w:val="20"/>
          <w:u w:val="single"/>
        </w:rPr>
        <w:t>EFRR</w:t>
      </w:r>
      <w:r w:rsidRPr="00117339">
        <w:rPr>
          <w:sz w:val="20"/>
          <w:szCs w:val="20"/>
        </w:rPr>
        <w:t xml:space="preserve">  sa podporia projekty na zlepšenie digitálnych zručností na potreby priemyselnej transformácie a hlavne domén RIS3  v období 2026-2030.  Z </w:t>
      </w:r>
      <w:r w:rsidRPr="00117339">
        <w:rPr>
          <w:b/>
          <w:sz w:val="20"/>
          <w:szCs w:val="20"/>
          <w:u w:val="single"/>
        </w:rPr>
        <w:t>POO</w:t>
      </w:r>
      <w:r w:rsidRPr="00117339">
        <w:rPr>
          <w:sz w:val="20"/>
          <w:szCs w:val="20"/>
        </w:rPr>
        <w:t xml:space="preserve"> sa podporia projekty na zlepšovanie digitálnych zručností seniorov a distribúcia Senior tabletov v období 2021-2026</w:t>
      </w:r>
    </w:p>
    <w:p w:rsidR="00677D5F" w:rsidRPr="007F3D93" w:rsidRDefault="00677D5F" w:rsidP="00677D5F">
      <w:pPr>
        <w:jc w:val="both"/>
        <w:rPr>
          <w:sz w:val="20"/>
          <w:szCs w:val="20"/>
        </w:rPr>
      </w:pPr>
      <w:r w:rsidRPr="007F3D93">
        <w:rPr>
          <w:sz w:val="20"/>
          <w:szCs w:val="20"/>
        </w:rPr>
        <w:t>Z </w:t>
      </w:r>
      <w:r w:rsidRPr="007F3D93">
        <w:rPr>
          <w:b/>
          <w:sz w:val="20"/>
          <w:szCs w:val="20"/>
        </w:rPr>
        <w:t xml:space="preserve">fondu </w:t>
      </w:r>
      <w:r w:rsidRPr="00EF0988">
        <w:rPr>
          <w:b/>
          <w:sz w:val="20"/>
          <w:szCs w:val="20"/>
          <w:u w:val="single"/>
        </w:rPr>
        <w:t>EFRR</w:t>
      </w:r>
      <w:r w:rsidRPr="007F3D93">
        <w:rPr>
          <w:sz w:val="20"/>
          <w:szCs w:val="20"/>
        </w:rPr>
        <w:t xml:space="preserve"> sa podporí poskytovanie motivačných štipendií pre talentovaných domácich a zahraničných študentov za účelom ich štúdia na vysokých školách v SR v súlade s potrebami domén SK RIS3 2021+ ako pokračovanie investície 3 z Plánu obnovy a odolnosti SR, komponent 10. EFRR bude podporovať aktivitu na roky 2025 – 2027, s možným dobehom do roku 2029. </w:t>
      </w:r>
      <w:r w:rsidRPr="00677D5F">
        <w:rPr>
          <w:b/>
          <w:sz w:val="20"/>
          <w:szCs w:val="20"/>
          <w:u w:val="single"/>
        </w:rPr>
        <w:t>POO</w:t>
      </w:r>
      <w:r w:rsidRPr="007F3D93">
        <w:rPr>
          <w:sz w:val="20"/>
          <w:szCs w:val="20"/>
        </w:rPr>
        <w:t xml:space="preserve"> podporí  štipendiá pre talentovaných domácich a zahraničných študentov:  spomedzi slovenských maturantov; z cudziny; nadpriemerní študenti, ktorí sú zo sociálne znevýhodneného prostredia, alebo patria do špecifických znevýhodnených skupín v rokoch 2022 až 2024 bez ohľadu na domény RIS3.</w:t>
      </w:r>
    </w:p>
    <w:p w:rsidR="00677D5F" w:rsidRPr="007F3D93" w:rsidRDefault="00677D5F" w:rsidP="00677D5F">
      <w:pPr>
        <w:jc w:val="both"/>
        <w:rPr>
          <w:sz w:val="20"/>
          <w:szCs w:val="20"/>
        </w:rPr>
      </w:pPr>
      <w:r w:rsidRPr="007F3D93">
        <w:rPr>
          <w:sz w:val="20"/>
          <w:szCs w:val="20"/>
        </w:rPr>
        <w:t xml:space="preserve">Prostredníctvom </w:t>
      </w:r>
      <w:r w:rsidRPr="007F3D93">
        <w:rPr>
          <w:b/>
          <w:sz w:val="20"/>
          <w:szCs w:val="20"/>
        </w:rPr>
        <w:t xml:space="preserve">fondu </w:t>
      </w:r>
      <w:r w:rsidRPr="00EF0988">
        <w:rPr>
          <w:b/>
          <w:sz w:val="20"/>
          <w:szCs w:val="20"/>
          <w:u w:val="single"/>
        </w:rPr>
        <w:t>EFRR</w:t>
      </w:r>
      <w:r w:rsidRPr="007F3D93">
        <w:rPr>
          <w:sz w:val="20"/>
          <w:szCs w:val="20"/>
        </w:rPr>
        <w:t xml:space="preserve"> sa budú realizovať výs</w:t>
      </w:r>
      <w:r>
        <w:rPr>
          <w:sz w:val="20"/>
          <w:szCs w:val="20"/>
        </w:rPr>
        <w:t>kumno-vývojové a inovačné aktivi</w:t>
      </w:r>
      <w:r w:rsidRPr="007F3D93">
        <w:rPr>
          <w:sz w:val="20"/>
          <w:szCs w:val="20"/>
        </w:rPr>
        <w:t>ty v podnikoch v každom stupni inovačného reťazca, na zavedenie dosiahnutej inovácie do produkčného procesu a ochrany práv duševného vlastníctva, vrátane nefinančnej a vouch</w:t>
      </w:r>
      <w:r>
        <w:rPr>
          <w:sz w:val="20"/>
          <w:szCs w:val="20"/>
        </w:rPr>
        <w:t>e</w:t>
      </w:r>
      <w:r w:rsidRPr="007F3D93">
        <w:rPr>
          <w:sz w:val="20"/>
          <w:szCs w:val="20"/>
        </w:rPr>
        <w:t xml:space="preserve">rovej podpory. Aktivita bude synergicky nadväzovať na vytvorený implementačný rámec v </w:t>
      </w:r>
      <w:r w:rsidRPr="00677D5F">
        <w:rPr>
          <w:b/>
          <w:sz w:val="20"/>
          <w:szCs w:val="20"/>
          <w:u w:val="single"/>
        </w:rPr>
        <w:t>POO</w:t>
      </w:r>
      <w:r w:rsidRPr="007F3D93">
        <w:rPr>
          <w:sz w:val="20"/>
          <w:szCs w:val="20"/>
        </w:rPr>
        <w:t xml:space="preserve"> v systém voucherovej podpory inovácií v podnikoch, v oblasti dekarbonizácie a digitalizáciu ekonomiky.</w:t>
      </w:r>
    </w:p>
    <w:p w:rsidR="00677D5F" w:rsidRPr="007F3D93" w:rsidRDefault="00677D5F" w:rsidP="00677D5F">
      <w:pPr>
        <w:jc w:val="both"/>
        <w:rPr>
          <w:sz w:val="20"/>
          <w:szCs w:val="20"/>
        </w:rPr>
      </w:pPr>
      <w:r w:rsidRPr="002F51E1">
        <w:rPr>
          <w:sz w:val="20"/>
          <w:szCs w:val="20"/>
        </w:rPr>
        <w:t>Podpora</w:t>
      </w:r>
      <w:r w:rsidRPr="007F3D93">
        <w:rPr>
          <w:b/>
          <w:sz w:val="20"/>
          <w:szCs w:val="20"/>
        </w:rPr>
        <w:t xml:space="preserve"> </w:t>
      </w:r>
      <w:r w:rsidRPr="00EF0988">
        <w:rPr>
          <w:b/>
          <w:sz w:val="20"/>
          <w:szCs w:val="20"/>
          <w:u w:val="single"/>
        </w:rPr>
        <w:t>EFRR</w:t>
      </w:r>
      <w:r w:rsidRPr="007F3D93">
        <w:rPr>
          <w:sz w:val="20"/>
          <w:szCs w:val="20"/>
        </w:rPr>
        <w:t xml:space="preserve"> bude zameraná na podporu vysoko hodnotených projektov (najmä SoE pre MSCA, EIC, ERC, projektov v rámci Rozširovanie účasti a šírenia excelentnosti), vrátane priameho financovania vysoko hodnotených projektov, ktoré nezískali financovanie v rámci programov H</w:t>
      </w:r>
      <w:r>
        <w:rPr>
          <w:sz w:val="20"/>
          <w:szCs w:val="20"/>
        </w:rPr>
        <w:t>orizon Europe, tzv. short-list</w:t>
      </w:r>
      <w:r w:rsidRPr="007F3D93">
        <w:rPr>
          <w:sz w:val="20"/>
          <w:szCs w:val="20"/>
        </w:rPr>
        <w:t xml:space="preserve"> projektov najmä v MRR so zamením na zapájanie a podporu SoE pre EIC Akcelerátor. Z </w:t>
      </w:r>
      <w:r w:rsidRPr="00677D5F">
        <w:rPr>
          <w:b/>
          <w:sz w:val="20"/>
          <w:szCs w:val="20"/>
          <w:u w:val="single"/>
        </w:rPr>
        <w:t>POO</w:t>
      </w:r>
      <w:r w:rsidRPr="007F3D93">
        <w:rPr>
          <w:sz w:val="20"/>
          <w:szCs w:val="20"/>
        </w:rPr>
        <w:t xml:space="preserve"> bude možnosť väčšieho zamerania na VRR pri aktivitách zapájania a podpory SoE pre EIC Akcelerátor a EIC Transition a pre EIT v rámci celého územia SR.</w:t>
      </w:r>
    </w:p>
    <w:p w:rsidR="00677D5F" w:rsidRPr="007F3D93" w:rsidRDefault="00677D5F" w:rsidP="00677D5F">
      <w:pPr>
        <w:jc w:val="both"/>
        <w:rPr>
          <w:sz w:val="20"/>
          <w:szCs w:val="20"/>
        </w:rPr>
      </w:pPr>
      <w:r w:rsidRPr="00EF0988">
        <w:rPr>
          <w:b/>
          <w:sz w:val="20"/>
          <w:szCs w:val="20"/>
          <w:u w:val="single"/>
        </w:rPr>
        <w:t>EFRR</w:t>
      </w:r>
      <w:r w:rsidRPr="007F3D93">
        <w:rPr>
          <w:b/>
          <w:sz w:val="20"/>
          <w:szCs w:val="20"/>
        </w:rPr>
        <w:t xml:space="preserve"> </w:t>
      </w:r>
      <w:r w:rsidRPr="007F3D93">
        <w:rPr>
          <w:sz w:val="20"/>
          <w:szCs w:val="20"/>
        </w:rPr>
        <w:t xml:space="preserve">podporí inovatívnu a digitálnu ekonomiku (Inovatívna </w:t>
      </w:r>
      <w:r>
        <w:rPr>
          <w:sz w:val="20"/>
          <w:szCs w:val="20"/>
        </w:rPr>
        <w:t>a inteligentná transformácia hos</w:t>
      </w:r>
      <w:r w:rsidRPr="007F3D93">
        <w:rPr>
          <w:sz w:val="20"/>
          <w:szCs w:val="20"/>
        </w:rPr>
        <w:t xml:space="preserve">podárstva). </w:t>
      </w:r>
      <w:r w:rsidRPr="00677D5F">
        <w:rPr>
          <w:b/>
          <w:sz w:val="20"/>
          <w:szCs w:val="20"/>
          <w:u w:val="single"/>
        </w:rPr>
        <w:t>POO</w:t>
      </w:r>
      <w:r w:rsidRPr="007F3D93">
        <w:rPr>
          <w:b/>
          <w:sz w:val="20"/>
          <w:szCs w:val="20"/>
        </w:rPr>
        <w:t xml:space="preserve"> </w:t>
      </w:r>
      <w:r w:rsidRPr="007F3D93">
        <w:rPr>
          <w:sz w:val="20"/>
          <w:szCs w:val="20"/>
        </w:rPr>
        <w:t>bude synergicky nadväzovať v oblasti vyhlasovania výziev alebo v časovom hľadisku implementácie v rámci komponentu 9 a investície zameranej na výskum a inovácie pre digitalizáciu ekonomiky.</w:t>
      </w:r>
    </w:p>
    <w:p w:rsidR="00677D5F" w:rsidRPr="007F3D93" w:rsidRDefault="00677D5F" w:rsidP="00677D5F">
      <w:pPr>
        <w:jc w:val="both"/>
        <w:rPr>
          <w:sz w:val="20"/>
          <w:szCs w:val="20"/>
        </w:rPr>
      </w:pPr>
      <w:r w:rsidRPr="007F3D93">
        <w:rPr>
          <w:sz w:val="20"/>
          <w:szCs w:val="20"/>
        </w:rPr>
        <w:t xml:space="preserve">V rámci podpory malého a stredného podnikania prostredníctvom </w:t>
      </w:r>
      <w:r w:rsidRPr="007F3D93">
        <w:rPr>
          <w:b/>
          <w:sz w:val="20"/>
          <w:szCs w:val="20"/>
        </w:rPr>
        <w:t xml:space="preserve">fondu </w:t>
      </w:r>
      <w:r w:rsidRPr="00EF0988">
        <w:rPr>
          <w:b/>
          <w:sz w:val="20"/>
          <w:szCs w:val="20"/>
          <w:u w:val="single"/>
        </w:rPr>
        <w:t>EFRR</w:t>
      </w:r>
      <w:r w:rsidRPr="007F3D93">
        <w:rPr>
          <w:sz w:val="20"/>
          <w:szCs w:val="20"/>
        </w:rPr>
        <w:t xml:space="preserve"> budú aktivity realizované najmä </w:t>
      </w:r>
      <w:r w:rsidR="0058342F">
        <w:rPr>
          <w:sz w:val="20"/>
          <w:szCs w:val="20"/>
        </w:rPr>
        <w:t xml:space="preserve">v </w:t>
      </w:r>
      <w:r w:rsidRPr="007F3D93">
        <w:rPr>
          <w:sz w:val="20"/>
          <w:szCs w:val="20"/>
        </w:rPr>
        <w:t xml:space="preserve">menej rozvinutých regiónoch. V rámci </w:t>
      </w:r>
      <w:r w:rsidRPr="00677D5F">
        <w:rPr>
          <w:b/>
          <w:sz w:val="20"/>
          <w:szCs w:val="20"/>
          <w:u w:val="single"/>
        </w:rPr>
        <w:t>POO</w:t>
      </w:r>
      <w:r w:rsidRPr="007F3D93">
        <w:rPr>
          <w:b/>
          <w:sz w:val="20"/>
          <w:szCs w:val="20"/>
        </w:rPr>
        <w:t xml:space="preserve"> </w:t>
      </w:r>
      <w:r w:rsidRPr="007F3D93">
        <w:rPr>
          <w:sz w:val="20"/>
          <w:szCs w:val="20"/>
        </w:rPr>
        <w:t xml:space="preserve">bude väčšie zameranie </w:t>
      </w:r>
      <w:r w:rsidR="0058342F">
        <w:rPr>
          <w:sz w:val="20"/>
          <w:szCs w:val="20"/>
        </w:rPr>
        <w:t>é</w:t>
      </w:r>
      <w:r w:rsidRPr="007F3D93">
        <w:rPr>
          <w:sz w:val="20"/>
          <w:szCs w:val="20"/>
        </w:rPr>
        <w:t xml:space="preserve"> na  poskytovan</w:t>
      </w:r>
      <w:r w:rsidR="0058342F">
        <w:rPr>
          <w:sz w:val="20"/>
          <w:szCs w:val="20"/>
        </w:rPr>
        <w:t>ie</w:t>
      </w:r>
      <w:r w:rsidRPr="007F3D93">
        <w:rPr>
          <w:sz w:val="20"/>
          <w:szCs w:val="20"/>
        </w:rPr>
        <w:t xml:space="preserve"> mikropôžič</w:t>
      </w:r>
      <w:r w:rsidR="0058342F">
        <w:rPr>
          <w:sz w:val="20"/>
          <w:szCs w:val="20"/>
        </w:rPr>
        <w:t>ie</w:t>
      </w:r>
      <w:r w:rsidRPr="007F3D93">
        <w:rPr>
          <w:sz w:val="20"/>
          <w:szCs w:val="20"/>
        </w:rPr>
        <w:t>k pr</w:t>
      </w:r>
      <w:r>
        <w:rPr>
          <w:sz w:val="20"/>
          <w:szCs w:val="20"/>
        </w:rPr>
        <w:t>ostredníctvom Slovak Business A</w:t>
      </w:r>
      <w:r w:rsidRPr="007F3D93">
        <w:rPr>
          <w:sz w:val="20"/>
          <w:szCs w:val="20"/>
        </w:rPr>
        <w:t>gency (mikropôžičky nebudú predmetom podpory v PSK) a kapitálové vstupy budú realizované cez Slovak Investment Holding.</w:t>
      </w:r>
    </w:p>
    <w:p w:rsidR="00AC0910" w:rsidRDefault="00AC0910" w:rsidP="00AC0910">
      <w:pPr>
        <w:spacing w:after="0" w:line="240" w:lineRule="auto"/>
        <w:jc w:val="both"/>
        <w:rPr>
          <w:rFonts w:eastAsia="Times New Roman"/>
          <w:sz w:val="20"/>
        </w:rPr>
      </w:pPr>
      <w:r>
        <w:rPr>
          <w:rFonts w:eastAsia="Times New Roman"/>
          <w:sz w:val="20"/>
        </w:rPr>
        <w:t xml:space="preserve">Z </w:t>
      </w:r>
      <w:r w:rsidRPr="00844E27">
        <w:rPr>
          <w:rFonts w:eastAsia="Times New Roman"/>
          <w:b/>
          <w:sz w:val="20"/>
          <w:u w:val="single"/>
        </w:rPr>
        <w:t>EFRR</w:t>
      </w:r>
      <w:r>
        <w:rPr>
          <w:rFonts w:eastAsia="Times New Roman"/>
          <w:sz w:val="20"/>
        </w:rPr>
        <w:t xml:space="preserve"> bude komplementárne </w:t>
      </w:r>
      <w:r w:rsidRPr="00476A98">
        <w:rPr>
          <w:rFonts w:eastAsia="Times New Roman"/>
          <w:sz w:val="20"/>
        </w:rPr>
        <w:t>podpor</w:t>
      </w:r>
      <w:r>
        <w:rPr>
          <w:rFonts w:eastAsia="Times New Roman"/>
          <w:sz w:val="20"/>
        </w:rPr>
        <w:t>ovaná</w:t>
      </w:r>
      <w:r w:rsidRPr="00476A98">
        <w:rPr>
          <w:rFonts w:eastAsia="Times New Roman"/>
          <w:sz w:val="20"/>
        </w:rPr>
        <w:t xml:space="preserve"> medzinárodn</w:t>
      </w:r>
      <w:r>
        <w:rPr>
          <w:rFonts w:eastAsia="Times New Roman"/>
          <w:sz w:val="20"/>
        </w:rPr>
        <w:t>á</w:t>
      </w:r>
      <w:r w:rsidRPr="00476A98">
        <w:rPr>
          <w:rFonts w:eastAsia="Times New Roman"/>
          <w:sz w:val="20"/>
        </w:rPr>
        <w:t xml:space="preserve"> spoluprác</w:t>
      </w:r>
      <w:r>
        <w:rPr>
          <w:rFonts w:eastAsia="Times New Roman"/>
          <w:sz w:val="20"/>
        </w:rPr>
        <w:t>a</w:t>
      </w:r>
      <w:r w:rsidRPr="00476A98">
        <w:rPr>
          <w:rFonts w:eastAsia="Times New Roman"/>
          <w:sz w:val="20"/>
        </w:rPr>
        <w:t xml:space="preserve"> v biomedicínskych výskumných infraštruktúrach, aj tých ktoré vznikli z partnerstiev pre Horizon Europe, v súlade s cieľmi RIS3 2021+</w:t>
      </w:r>
      <w:r>
        <w:rPr>
          <w:rFonts w:eastAsia="Times New Roman"/>
          <w:sz w:val="20"/>
        </w:rPr>
        <w:t>). Z </w:t>
      </w:r>
      <w:r w:rsidRPr="00AC0910">
        <w:rPr>
          <w:rFonts w:eastAsia="Times New Roman"/>
          <w:b/>
          <w:sz w:val="20"/>
          <w:u w:val="single"/>
        </w:rPr>
        <w:t>POO</w:t>
      </w:r>
      <w:r>
        <w:rPr>
          <w:rFonts w:eastAsia="Times New Roman"/>
          <w:sz w:val="20"/>
        </w:rPr>
        <w:t xml:space="preserve"> sa podporí v</w:t>
      </w:r>
      <w:r w:rsidRPr="00635A4D">
        <w:rPr>
          <w:rFonts w:eastAsia="Times New Roman"/>
          <w:sz w:val="20"/>
        </w:rPr>
        <w:t>ýstavb</w:t>
      </w:r>
      <w:r>
        <w:rPr>
          <w:rFonts w:eastAsia="Times New Roman"/>
          <w:sz w:val="20"/>
        </w:rPr>
        <w:t>a</w:t>
      </w:r>
      <w:r w:rsidRPr="00635A4D">
        <w:rPr>
          <w:rFonts w:eastAsia="Times New Roman"/>
          <w:sz w:val="20"/>
        </w:rPr>
        <w:t xml:space="preserve"> a obnov</w:t>
      </w:r>
      <w:r>
        <w:rPr>
          <w:rFonts w:eastAsia="Times New Roman"/>
          <w:sz w:val="20"/>
        </w:rPr>
        <w:t>a</w:t>
      </w:r>
      <w:r w:rsidRPr="00635A4D">
        <w:rPr>
          <w:rFonts w:eastAsia="Times New Roman"/>
          <w:sz w:val="20"/>
        </w:rPr>
        <w:t xml:space="preserve"> staníc záchrannej zdravotnej služby</w:t>
      </w:r>
      <w:r>
        <w:rPr>
          <w:rFonts w:eastAsia="Times New Roman"/>
          <w:sz w:val="20"/>
        </w:rPr>
        <w:t xml:space="preserve"> na </w:t>
      </w:r>
      <w:r w:rsidRPr="00635A4D">
        <w:rPr>
          <w:rFonts w:eastAsia="Times New Roman"/>
          <w:sz w:val="20"/>
        </w:rPr>
        <w:t>zabezpečenie špičkového vybavenia</w:t>
      </w:r>
      <w:r w:rsidR="0058342F">
        <w:rPr>
          <w:rFonts w:eastAsia="Times New Roman"/>
          <w:sz w:val="20"/>
        </w:rPr>
        <w:t>.</w:t>
      </w:r>
    </w:p>
    <w:p w:rsidR="00FA0FB8" w:rsidRDefault="00FA0FB8" w:rsidP="00AC0910">
      <w:pPr>
        <w:spacing w:after="0" w:line="240" w:lineRule="auto"/>
        <w:jc w:val="both"/>
        <w:rPr>
          <w:rFonts w:eastAsia="Times New Roman"/>
          <w:sz w:val="20"/>
        </w:rPr>
      </w:pPr>
    </w:p>
    <w:p w:rsidR="00FA0FB8" w:rsidRDefault="00FA0FB8" w:rsidP="00AC0910">
      <w:pPr>
        <w:spacing w:after="0" w:line="240" w:lineRule="auto"/>
        <w:jc w:val="both"/>
        <w:rPr>
          <w:rFonts w:eastAsia="Times New Roman"/>
          <w:sz w:val="20"/>
        </w:rPr>
      </w:pPr>
      <w:r w:rsidRPr="00FA0FB8">
        <w:rPr>
          <w:rFonts w:eastAsia="Times New Roman"/>
          <w:sz w:val="20"/>
        </w:rPr>
        <w:t>V rámci komponentu 8 POO dôjde k posilneniu kvality ľudského kapitálu, zvýšeniu inovačného potenciálu a konkurencieschopnosti SR za podpory profilácie vysokých škôl a ich spolupráce s domácimi a zahraničnými partnermi. Z fondov EÚ bude komplementárne nepriamo podporené vytváranie podmienok pre praktickú výuku zabezpečením zariadenia a vybavenia pre rozvoj zručností, otvorenosť akademického prostredia zapájaním expertov z praxe do vzdelávania, koncentrácia vzdelávacích kapacít vytváraním a inováciou žiadaných študijných programov</w:t>
      </w:r>
      <w:r>
        <w:rPr>
          <w:rFonts w:eastAsia="Times New Roman"/>
          <w:sz w:val="20"/>
        </w:rPr>
        <w:t>.</w:t>
      </w:r>
    </w:p>
    <w:p w:rsidR="00AC0910" w:rsidRDefault="00AC0910" w:rsidP="00AC0910">
      <w:pPr>
        <w:spacing w:after="0" w:line="240" w:lineRule="auto"/>
        <w:jc w:val="both"/>
        <w:rPr>
          <w:rFonts w:eastAsia="Times New Roman"/>
          <w:sz w:val="20"/>
        </w:rPr>
      </w:pPr>
    </w:p>
    <w:p w:rsidR="00AC0910" w:rsidRDefault="00AC0910" w:rsidP="00AC0910">
      <w:pPr>
        <w:spacing w:after="0" w:line="240" w:lineRule="auto"/>
        <w:jc w:val="both"/>
        <w:rPr>
          <w:rFonts w:eastAsia="Times New Roman"/>
          <w:sz w:val="20"/>
        </w:rPr>
      </w:pPr>
      <w:r>
        <w:rPr>
          <w:rFonts w:eastAsia="Times New Roman"/>
          <w:sz w:val="20"/>
        </w:rPr>
        <w:t xml:space="preserve">Finančné prostriedky </w:t>
      </w:r>
      <w:r w:rsidRPr="00476A98">
        <w:rPr>
          <w:rFonts w:eastAsia="Times New Roman"/>
          <w:b/>
          <w:sz w:val="20"/>
        </w:rPr>
        <w:t>z </w:t>
      </w:r>
      <w:r w:rsidRPr="00AC0910">
        <w:rPr>
          <w:rFonts w:eastAsia="Times New Roman"/>
          <w:b/>
          <w:sz w:val="20"/>
          <w:u w:val="single"/>
        </w:rPr>
        <w:t>POO</w:t>
      </w:r>
      <w:r>
        <w:rPr>
          <w:rFonts w:eastAsia="Times New Roman"/>
          <w:sz w:val="20"/>
        </w:rPr>
        <w:t xml:space="preserve"> budú použité na vybudovanie </w:t>
      </w:r>
      <w:r w:rsidRPr="00C26939">
        <w:rPr>
          <w:rFonts w:eastAsia="Times New Roman"/>
          <w:sz w:val="20"/>
        </w:rPr>
        <w:t>Národn</w:t>
      </w:r>
      <w:r>
        <w:rPr>
          <w:rFonts w:eastAsia="Times New Roman"/>
          <w:sz w:val="20"/>
        </w:rPr>
        <w:t>ého</w:t>
      </w:r>
      <w:r w:rsidRPr="00C26939">
        <w:rPr>
          <w:rFonts w:eastAsia="Times New Roman"/>
          <w:sz w:val="20"/>
        </w:rPr>
        <w:t xml:space="preserve"> archív</w:t>
      </w:r>
      <w:r>
        <w:rPr>
          <w:rFonts w:eastAsia="Times New Roman"/>
          <w:sz w:val="20"/>
        </w:rPr>
        <w:t>u</w:t>
      </w:r>
      <w:r w:rsidRPr="00C26939">
        <w:rPr>
          <w:rFonts w:eastAsia="Times New Roman"/>
          <w:sz w:val="20"/>
        </w:rPr>
        <w:t xml:space="preserve"> pre rádiológiu podporovanú umelou inteligenciou. Tento projekt má za cieľ vybudovať zdieľaný archív pre sieť 30 kľúčových poskytovateľov ústavnej zdravotnej starostlivosti, v ktorom bude k dispozícii softvérové vybavenie využívajúce umelú inteligenciu pre optimalizáciu radiačnej dávky a pre efektívnejšie vyhodnocovanie rádiologických vyšetrení</w:t>
      </w:r>
      <w:r>
        <w:rPr>
          <w:rFonts w:eastAsia="Times New Roman"/>
          <w:sz w:val="20"/>
        </w:rPr>
        <w:t xml:space="preserve">. </w:t>
      </w:r>
      <w:r w:rsidRPr="00476A98">
        <w:rPr>
          <w:rFonts w:eastAsia="Times New Roman"/>
          <w:b/>
          <w:sz w:val="20"/>
        </w:rPr>
        <w:t xml:space="preserve">Fond </w:t>
      </w:r>
      <w:r w:rsidRPr="00EF0988">
        <w:rPr>
          <w:rFonts w:eastAsia="Times New Roman"/>
          <w:b/>
          <w:sz w:val="20"/>
          <w:u w:val="single"/>
        </w:rPr>
        <w:t>EFRR</w:t>
      </w:r>
      <w:r w:rsidRPr="00C26939">
        <w:rPr>
          <w:rFonts w:eastAsia="Times New Roman"/>
          <w:sz w:val="20"/>
        </w:rPr>
        <w:t xml:space="preserve"> </w:t>
      </w:r>
      <w:r>
        <w:rPr>
          <w:rFonts w:eastAsia="Times New Roman"/>
          <w:sz w:val="20"/>
        </w:rPr>
        <w:t xml:space="preserve">projekt </w:t>
      </w:r>
      <w:r w:rsidRPr="00C26939">
        <w:rPr>
          <w:rFonts w:eastAsia="Times New Roman"/>
          <w:sz w:val="20"/>
        </w:rPr>
        <w:t>Národn</w:t>
      </w:r>
      <w:r>
        <w:rPr>
          <w:rFonts w:eastAsia="Times New Roman"/>
          <w:sz w:val="20"/>
        </w:rPr>
        <w:t>ého</w:t>
      </w:r>
      <w:r w:rsidRPr="00C26939">
        <w:rPr>
          <w:rFonts w:eastAsia="Times New Roman"/>
          <w:sz w:val="20"/>
        </w:rPr>
        <w:t xml:space="preserve"> archív</w:t>
      </w:r>
      <w:r>
        <w:rPr>
          <w:rFonts w:eastAsia="Times New Roman"/>
          <w:sz w:val="20"/>
        </w:rPr>
        <w:t>u</w:t>
      </w:r>
      <w:r w:rsidRPr="00C26939">
        <w:rPr>
          <w:rFonts w:eastAsia="Times New Roman"/>
          <w:sz w:val="20"/>
        </w:rPr>
        <w:t xml:space="preserve"> pre rádiológiu rozšíri na všetkých ostatných poskytovateľov zdravotnej starostlivosti, prioritne však na tých, ktorý poskytujú vyšetrenia pomocou CT, MR a mamografických prístrojov. Tento zámer je aj v súlade s PO1, ŠC 1.2.1</w:t>
      </w:r>
      <w:r w:rsidR="00117339" w:rsidRPr="00117339">
        <w:rPr>
          <w:rFonts w:eastAsia="Times New Roman"/>
          <w:sz w:val="20"/>
        </w:rPr>
        <w:t xml:space="preserve"> Podpora v oblasti kybernetickej a informačnej bezpečnosti - posilnenie prvkov kritickej infraštruktúry a budovanie nástroja pre manažment údajov</w:t>
      </w:r>
      <w:r w:rsidR="00117339">
        <w:rPr>
          <w:rFonts w:eastAsia="Times New Roman"/>
          <w:sz w:val="20"/>
        </w:rPr>
        <w:t>, p</w:t>
      </w:r>
      <w:r w:rsidRPr="00C26939">
        <w:rPr>
          <w:rFonts w:eastAsia="Times New Roman"/>
          <w:sz w:val="20"/>
        </w:rPr>
        <w:t xml:space="preserve">odpora v oblasti </w:t>
      </w:r>
      <w:r w:rsidRPr="00C26939">
        <w:rPr>
          <w:rFonts w:eastAsia="Times New Roman"/>
          <w:sz w:val="20"/>
        </w:rPr>
        <w:lastRenderedPageBreak/>
        <w:t>informatizácie a digitálnej transformácie, kde očakávaný výsledok bude vybudovanie kapacít a potrebnej infraštruktúry na prepojenie zdravotníckych registrov a databáz vrátane genomických databáz a databáz zobrazovacích vyšetrení týkajúcich sa rakoviny.</w:t>
      </w:r>
    </w:p>
    <w:p w:rsidR="00EF0C01" w:rsidRDefault="00EF0C01" w:rsidP="00AC0910">
      <w:pPr>
        <w:spacing w:after="0" w:line="240" w:lineRule="auto"/>
        <w:jc w:val="both"/>
        <w:rPr>
          <w:rFonts w:eastAsia="Times New Roman"/>
          <w:sz w:val="20"/>
        </w:rPr>
      </w:pPr>
    </w:p>
    <w:p w:rsidR="00DA74F9" w:rsidRPr="00C54B4F" w:rsidRDefault="00DA74F9" w:rsidP="00C54B4F">
      <w:pPr>
        <w:jc w:val="both"/>
        <w:rPr>
          <w:b/>
          <w:u w:val="single"/>
        </w:rPr>
      </w:pPr>
      <w:r w:rsidRPr="00C54B4F">
        <w:rPr>
          <w:b/>
          <w:u w:val="single"/>
        </w:rPr>
        <w:t>Synergie s FST</w:t>
      </w:r>
    </w:p>
    <w:p w:rsidR="00100DEF" w:rsidRDefault="004C0501" w:rsidP="00DA74F9">
      <w:pPr>
        <w:spacing w:after="0" w:line="240" w:lineRule="auto"/>
        <w:jc w:val="both"/>
        <w:rPr>
          <w:rFonts w:eastAsia="Times New Roman"/>
          <w:sz w:val="20"/>
        </w:rPr>
      </w:pPr>
      <w:r w:rsidRPr="004C0501">
        <w:rPr>
          <w:rFonts w:eastAsia="Times New Roman"/>
          <w:sz w:val="20"/>
        </w:rPr>
        <w:t xml:space="preserve">Intervencie z </w:t>
      </w:r>
      <w:r w:rsidRPr="004C0501">
        <w:rPr>
          <w:rFonts w:eastAsia="Times New Roman"/>
          <w:b/>
          <w:sz w:val="20"/>
          <w:u w:val="single"/>
        </w:rPr>
        <w:t>FST</w:t>
      </w:r>
      <w:r w:rsidRPr="004C0501">
        <w:rPr>
          <w:rFonts w:eastAsia="Times New Roman"/>
          <w:sz w:val="20"/>
        </w:rPr>
        <w:t xml:space="preserve"> a ich územné zacielenie sú vymedzené v Pláne spravodlivej transformácie územia (PST), pričom budú synergicky a komplementárne podporovať investície prispievajúce k diverzifikácii, modernizácii a transformácii ekonomiky v rámci CP 1. Špecificky bude podpora z FST na oprávnenom území zameraná na rozvoj MSP vrátane produktívnych investícií, ako aj na rozvoj mikropodnikov a začínajúcich podnikov, najmä v nových, vznikajúcich a transformovaných odvetviach hospodárstva. FST bude doplnkovým zdrojom pre podporu zručností v súlade s doménami RIS3, s osobitným zameraním najmä na priemyselnú transformáciu a podnikanie v transformujúcich sa územiach. Rovnako bude podpora zameraná na odborné vzdelávanie a prípravu v rámci stredoškolského vzdelávania, vrátane duálneho vzdelávania. V oblasti VVaI bude FST podporovať aktivity zamerané predovšetkým na zelené technológie a inovácie v oblasti zelenej ekonomiky s cieľom prispieť k transformácii a tvorbe pracovných miest s vyššou pridanou hodnotou. Špecificky sa bude FST zameriavať na podporu podnikového výskumu, podporu spolupráce medzi vedeckovýskumnými inštitúciami a podnikmi zameranú na nové pokročilé / prelomové technológie a ich transfer do aplikačnej praxe.</w:t>
      </w:r>
    </w:p>
    <w:p w:rsidR="004C0501" w:rsidRDefault="004C0501" w:rsidP="00D71C19">
      <w:pPr>
        <w:jc w:val="both"/>
        <w:rPr>
          <w:b/>
          <w:u w:val="single"/>
        </w:rPr>
      </w:pPr>
    </w:p>
    <w:p w:rsidR="00D71C19" w:rsidRPr="00D71C19" w:rsidRDefault="00D71C19" w:rsidP="00D71C19">
      <w:pPr>
        <w:jc w:val="both"/>
        <w:rPr>
          <w:b/>
          <w:u w:val="single"/>
        </w:rPr>
      </w:pPr>
      <w:r w:rsidRPr="00D71C19">
        <w:rPr>
          <w:b/>
          <w:u w:val="single"/>
        </w:rPr>
        <w:t>Synergie s ENRAF</w:t>
      </w:r>
    </w:p>
    <w:p w:rsidR="00D71C19" w:rsidRDefault="00D71C19" w:rsidP="00D71C19">
      <w:pPr>
        <w:spacing w:after="0" w:line="240" w:lineRule="auto"/>
        <w:jc w:val="both"/>
        <w:rPr>
          <w:rFonts w:eastAsia="Times New Roman"/>
          <w:sz w:val="20"/>
        </w:rPr>
      </w:pPr>
      <w:r w:rsidRPr="005B272D">
        <w:rPr>
          <w:rFonts w:eastAsia="Times New Roman"/>
          <w:sz w:val="20"/>
        </w:rPr>
        <w:t xml:space="preserve">Podpora z </w:t>
      </w:r>
      <w:r w:rsidRPr="00677D5F">
        <w:rPr>
          <w:rFonts w:eastAsia="Times New Roman"/>
          <w:b/>
          <w:sz w:val="20"/>
          <w:u w:val="single"/>
        </w:rPr>
        <w:t>ENRAF</w:t>
      </w:r>
      <w:r w:rsidRPr="005B272D">
        <w:rPr>
          <w:rFonts w:eastAsia="Times New Roman"/>
          <w:sz w:val="20"/>
        </w:rPr>
        <w:t xml:space="preserve"> bude synergicky pôsobiť v oblastiach diverzifikácie, modernizácie, podpory transferu technológií a celkového digitálneho prechodu MSP v oblasti akvakultúry a spracovania rýb.</w:t>
      </w:r>
    </w:p>
    <w:p w:rsidR="00EF0988" w:rsidRDefault="00EF0988" w:rsidP="00D71C19">
      <w:pPr>
        <w:spacing w:after="0" w:line="240" w:lineRule="auto"/>
        <w:jc w:val="both"/>
        <w:rPr>
          <w:b/>
          <w:u w:val="single"/>
        </w:rPr>
      </w:pPr>
    </w:p>
    <w:p w:rsidR="00DA74F9" w:rsidRDefault="00DA74F9" w:rsidP="00D71C19">
      <w:pPr>
        <w:spacing w:after="0" w:line="240" w:lineRule="auto"/>
        <w:jc w:val="both"/>
        <w:rPr>
          <w:b/>
          <w:u w:val="single"/>
        </w:rPr>
      </w:pPr>
      <w:r w:rsidRPr="00C54B4F">
        <w:rPr>
          <w:b/>
          <w:u w:val="single"/>
        </w:rPr>
        <w:t>Synergie s</w:t>
      </w:r>
      <w:r w:rsidR="00D71C19">
        <w:rPr>
          <w:b/>
          <w:u w:val="single"/>
        </w:rPr>
        <w:t> </w:t>
      </w:r>
      <w:r w:rsidRPr="00C54B4F">
        <w:rPr>
          <w:b/>
          <w:u w:val="single"/>
        </w:rPr>
        <w:t>EPFRV</w:t>
      </w:r>
    </w:p>
    <w:p w:rsidR="00D71C19" w:rsidRPr="00D71C19" w:rsidRDefault="00D71C19" w:rsidP="00D71C19">
      <w:pPr>
        <w:spacing w:after="0" w:line="240" w:lineRule="auto"/>
        <w:jc w:val="both"/>
        <w:rPr>
          <w:rFonts w:eastAsia="Times New Roman"/>
          <w:sz w:val="20"/>
        </w:rPr>
      </w:pPr>
    </w:p>
    <w:p w:rsidR="000445AF" w:rsidRDefault="00D71C19" w:rsidP="00D71C19">
      <w:pPr>
        <w:spacing w:after="0" w:line="240" w:lineRule="auto"/>
        <w:jc w:val="both"/>
        <w:rPr>
          <w:rFonts w:eastAsia="Times New Roman"/>
          <w:sz w:val="20"/>
        </w:rPr>
      </w:pPr>
      <w:r w:rsidRPr="00DA74F9">
        <w:rPr>
          <w:rFonts w:eastAsia="Times New Roman"/>
          <w:sz w:val="20"/>
        </w:rPr>
        <w:t>Podpora z EPFRV bude zameran</w:t>
      </w:r>
      <w:r>
        <w:rPr>
          <w:rFonts w:eastAsia="Times New Roman"/>
          <w:sz w:val="20"/>
        </w:rPr>
        <w:t>á</w:t>
      </w:r>
      <w:r w:rsidRPr="00DA74F9">
        <w:rPr>
          <w:rFonts w:eastAsia="Times New Roman"/>
          <w:sz w:val="20"/>
        </w:rPr>
        <w:t xml:space="preserve"> v rámci CP 1 prioritne</w:t>
      </w:r>
      <w:r>
        <w:rPr>
          <w:rFonts w:eastAsia="Times New Roman"/>
          <w:sz w:val="20"/>
        </w:rPr>
        <w:t xml:space="preserve"> v zmysle domény RIS3 2021-2027 č.</w:t>
      </w:r>
      <w:r w:rsidRPr="00E57260">
        <w:rPr>
          <w:rFonts w:eastAsia="Times New Roman"/>
          <w:sz w:val="20"/>
        </w:rPr>
        <w:t xml:space="preserve"> 5: Zdravé potraviny a životné prostredie</w:t>
      </w:r>
      <w:r>
        <w:rPr>
          <w:rFonts w:eastAsia="Times New Roman"/>
          <w:sz w:val="20"/>
        </w:rPr>
        <w:t xml:space="preserve"> a  sústredená</w:t>
      </w:r>
      <w:r w:rsidRPr="00DA74F9">
        <w:rPr>
          <w:rFonts w:eastAsia="Times New Roman"/>
          <w:sz w:val="20"/>
        </w:rPr>
        <w:t xml:space="preserve"> na podporu rozvoja v oblasti vedy, výskumu a inovácií, malého a stredného podnikania, využívania výhod digitalizácie</w:t>
      </w:r>
      <w:r>
        <w:rPr>
          <w:rFonts w:eastAsia="Times New Roman"/>
          <w:sz w:val="20"/>
        </w:rPr>
        <w:t xml:space="preserve"> </w:t>
      </w:r>
      <w:r w:rsidRPr="00DA74F9">
        <w:rPr>
          <w:rFonts w:eastAsia="Times New Roman"/>
          <w:sz w:val="20"/>
        </w:rPr>
        <w:t xml:space="preserve"> a vzdelávania (špecializovaného) pre </w:t>
      </w:r>
      <w:r>
        <w:rPr>
          <w:rFonts w:eastAsia="Times New Roman"/>
          <w:sz w:val="20"/>
        </w:rPr>
        <w:t xml:space="preserve">definované </w:t>
      </w:r>
      <w:r w:rsidRPr="00DA74F9">
        <w:rPr>
          <w:rFonts w:eastAsia="Times New Roman"/>
          <w:sz w:val="20"/>
        </w:rPr>
        <w:t>oblas</w:t>
      </w:r>
      <w:r>
        <w:rPr>
          <w:rFonts w:eastAsia="Times New Roman"/>
          <w:sz w:val="20"/>
        </w:rPr>
        <w:t>ti</w:t>
      </w:r>
      <w:r w:rsidRPr="00DA74F9">
        <w:rPr>
          <w:rFonts w:eastAsia="Times New Roman"/>
          <w:sz w:val="20"/>
        </w:rPr>
        <w:t xml:space="preserve"> pôdohospodárstva. Dôraz je kladený na systemizáciu prenosu poznatkov zhora nadol a naopak</w:t>
      </w:r>
      <w:r>
        <w:rPr>
          <w:rFonts w:eastAsia="Times New Roman"/>
          <w:sz w:val="20"/>
        </w:rPr>
        <w:t xml:space="preserve"> na</w:t>
      </w:r>
      <w:r w:rsidR="004C0501">
        <w:rPr>
          <w:rFonts w:eastAsia="Times New Roman"/>
          <w:sz w:val="20"/>
        </w:rPr>
        <w:t xml:space="preserve"> </w:t>
      </w:r>
      <w:r w:rsidRPr="00DA74F9">
        <w:rPr>
          <w:rFonts w:eastAsia="Times New Roman"/>
          <w:sz w:val="20"/>
        </w:rPr>
        <w:t>zabezpečenie podnetov na ďalší výskum (t.</w:t>
      </w:r>
      <w:r w:rsidR="004C0501">
        <w:rPr>
          <w:rFonts w:eastAsia="Times New Roman"/>
          <w:sz w:val="20"/>
        </w:rPr>
        <w:t xml:space="preserve"> </w:t>
      </w:r>
      <w:r w:rsidRPr="00DA74F9">
        <w:rPr>
          <w:rFonts w:eastAsia="Times New Roman"/>
          <w:sz w:val="20"/>
        </w:rPr>
        <w:t>j</w:t>
      </w:r>
      <w:r>
        <w:rPr>
          <w:rFonts w:eastAsia="Times New Roman"/>
          <w:sz w:val="20"/>
        </w:rPr>
        <w:t>.</w:t>
      </w:r>
      <w:r w:rsidRPr="00DA74F9">
        <w:rPr>
          <w:rFonts w:eastAsia="Times New Roman"/>
          <w:sz w:val="20"/>
        </w:rPr>
        <w:t xml:space="preserve"> zdola nahor). </w:t>
      </w:r>
      <w:r>
        <w:rPr>
          <w:rFonts w:eastAsia="Times New Roman"/>
          <w:sz w:val="20"/>
        </w:rPr>
        <w:t>Vzhľadom na charakter a prioritné oblasti domény budú úzke prepojenia a synergické efekty aj s CP2, explicitne najmä v</w:t>
      </w:r>
      <w:r w:rsidRPr="00421008">
        <w:rPr>
          <w:rFonts w:eastAsia="Times New Roman"/>
          <w:sz w:val="20"/>
        </w:rPr>
        <w:t xml:space="preserve"> oblasti podpory obehového hospodárstva</w:t>
      </w:r>
      <w:r>
        <w:rPr>
          <w:rFonts w:eastAsia="Times New Roman"/>
          <w:sz w:val="20"/>
        </w:rPr>
        <w:t xml:space="preserve">. </w:t>
      </w:r>
      <w:r w:rsidRPr="00421008">
        <w:rPr>
          <w:rFonts w:eastAsia="Times New Roman"/>
          <w:sz w:val="20"/>
        </w:rPr>
        <w:t xml:space="preserve"> </w:t>
      </w:r>
      <w:r w:rsidRPr="00DA74F9">
        <w:rPr>
          <w:rFonts w:eastAsia="Times New Roman"/>
          <w:sz w:val="20"/>
        </w:rPr>
        <w:t xml:space="preserve">Za účelom koordinácie a zlepšenia tokov znalosti a posilnenia prepojenia medzi výskumom a praxou bude vytvorené Národné kompetenčné pôdohospodárske centrum, ktorého hlavnými úlohami bude zabezpečenie </w:t>
      </w:r>
      <w:r>
        <w:rPr>
          <w:rFonts w:eastAsia="Times New Roman"/>
          <w:sz w:val="20"/>
        </w:rPr>
        <w:t xml:space="preserve">aplikácie quadruple helix modelu pre transfer poznatkov v sektore. </w:t>
      </w:r>
      <w:r w:rsidRPr="00DA74F9">
        <w:rPr>
          <w:rFonts w:eastAsia="Times New Roman"/>
          <w:sz w:val="20"/>
        </w:rPr>
        <w:t xml:space="preserve"> Priama podpora prepájania vedecko-výskumných aktivít s reálnou potrebou praxe bude podporovaná cez jednotlivé intervencie SPP). Cieľom je pretvorenie aktuálnych solitárnych aktivít do funkčného systému väzieb – funkčného AKIS – Agricultural Knowledge and Innovation Systems. Vzhľadom na zameranie intervencií a orientovanie sa na agrárnu problematiku, jednotlivé podporované aktivity budú komplementárne prispievať k </w:t>
      </w:r>
      <w:r>
        <w:rPr>
          <w:rFonts w:eastAsia="Times New Roman"/>
          <w:sz w:val="20"/>
        </w:rPr>
        <w:t xml:space="preserve">politickému </w:t>
      </w:r>
      <w:r w:rsidRPr="00DA74F9">
        <w:rPr>
          <w:rFonts w:eastAsia="Times New Roman"/>
          <w:sz w:val="20"/>
        </w:rPr>
        <w:t>cieľu 1 – t.</w:t>
      </w:r>
      <w:r w:rsidR="004C0501">
        <w:rPr>
          <w:rFonts w:eastAsia="Times New Roman"/>
          <w:sz w:val="20"/>
        </w:rPr>
        <w:t xml:space="preserve"> </w:t>
      </w:r>
      <w:r w:rsidRPr="00DA74F9">
        <w:rPr>
          <w:rFonts w:eastAsia="Times New Roman"/>
          <w:sz w:val="20"/>
        </w:rPr>
        <w:t>j. vďaka intervenciám by mala byť dosiahnutá väčšia konkurencieschopnosť jednotlivých článkov naprieč sektorom a zvýšenie prístupu a využívania moderných technológií.</w:t>
      </w:r>
    </w:p>
    <w:p w:rsidR="000445AF" w:rsidRDefault="000445AF" w:rsidP="00D71C19">
      <w:pPr>
        <w:spacing w:after="0" w:line="240" w:lineRule="auto"/>
        <w:jc w:val="both"/>
        <w:rPr>
          <w:rFonts w:eastAsia="Times New Roman"/>
          <w:sz w:val="20"/>
        </w:rPr>
      </w:pPr>
    </w:p>
    <w:p w:rsidR="00D71C19" w:rsidRDefault="000445AF" w:rsidP="00D71C19">
      <w:pPr>
        <w:spacing w:after="0" w:line="240" w:lineRule="auto"/>
        <w:jc w:val="both"/>
        <w:rPr>
          <w:rFonts w:eastAsia="Times New Roman"/>
          <w:b/>
          <w:sz w:val="20"/>
          <w:u w:val="single"/>
        </w:rPr>
      </w:pPr>
      <w:r w:rsidRPr="000445AF">
        <w:rPr>
          <w:rFonts w:eastAsia="Times New Roman"/>
          <w:b/>
          <w:sz w:val="20"/>
          <w:u w:val="single"/>
        </w:rPr>
        <w:t>Synergie</w:t>
      </w:r>
      <w:r>
        <w:rPr>
          <w:rFonts w:eastAsia="Times New Roman"/>
          <w:b/>
          <w:sz w:val="20"/>
          <w:u w:val="single"/>
        </w:rPr>
        <w:t xml:space="preserve"> s </w:t>
      </w:r>
      <w:r w:rsidRPr="000445AF">
        <w:rPr>
          <w:rFonts w:eastAsia="Times New Roman"/>
          <w:b/>
          <w:sz w:val="20"/>
          <w:u w:val="single"/>
        </w:rPr>
        <w:t>Interreg SK-AT</w:t>
      </w:r>
      <w:r w:rsidR="00D71C19" w:rsidRPr="000445AF">
        <w:rPr>
          <w:rFonts w:eastAsia="Times New Roman"/>
          <w:b/>
          <w:sz w:val="20"/>
          <w:u w:val="single"/>
        </w:rPr>
        <w:t xml:space="preserve"> </w:t>
      </w:r>
    </w:p>
    <w:p w:rsidR="000445AF" w:rsidRDefault="000445AF" w:rsidP="00D71C19">
      <w:pPr>
        <w:spacing w:after="0" w:line="240" w:lineRule="auto"/>
        <w:jc w:val="both"/>
        <w:rPr>
          <w:rFonts w:eastAsia="Times New Roman"/>
          <w:b/>
          <w:sz w:val="20"/>
          <w:u w:val="single"/>
        </w:rPr>
      </w:pPr>
    </w:p>
    <w:p w:rsidR="000445AF" w:rsidRPr="000445AF" w:rsidRDefault="000445AF" w:rsidP="00D71C19">
      <w:pPr>
        <w:spacing w:after="0" w:line="240" w:lineRule="auto"/>
        <w:jc w:val="both"/>
        <w:rPr>
          <w:rFonts w:eastAsia="Times New Roman"/>
          <w:sz w:val="20"/>
        </w:rPr>
      </w:pPr>
      <w:r w:rsidRPr="000445AF">
        <w:rPr>
          <w:rFonts w:eastAsia="Times New Roman"/>
          <w:sz w:val="20"/>
        </w:rPr>
        <w:t>Komplementárnosť a synergie boli identifikované v oblasti rozvoja a posilňovania výskumných a inovačných kapacít a zavádzania vyspelých technológií (SO 1.1)</w:t>
      </w:r>
      <w:r>
        <w:rPr>
          <w:rFonts w:eastAsia="Times New Roman"/>
          <w:sz w:val="20"/>
        </w:rPr>
        <w:t>.</w:t>
      </w:r>
    </w:p>
    <w:p w:rsidR="006575B7" w:rsidRDefault="006575B7" w:rsidP="00DA74F9">
      <w:pPr>
        <w:spacing w:after="0" w:line="240" w:lineRule="auto"/>
        <w:jc w:val="both"/>
        <w:rPr>
          <w:rFonts w:eastAsia="Times New Roman"/>
          <w:sz w:val="20"/>
        </w:rPr>
      </w:pPr>
    </w:p>
    <w:p w:rsidR="00DA74F9" w:rsidRPr="00C54B4F" w:rsidRDefault="00DA74F9" w:rsidP="00C54B4F">
      <w:pPr>
        <w:jc w:val="both"/>
        <w:rPr>
          <w:b/>
          <w:u w:val="single"/>
        </w:rPr>
      </w:pPr>
      <w:r w:rsidRPr="00C54B4F">
        <w:rPr>
          <w:b/>
          <w:u w:val="single"/>
        </w:rPr>
        <w:t>Synergie s ostatnými nástrojmi podpory</w:t>
      </w:r>
    </w:p>
    <w:p w:rsidR="00EF0988" w:rsidRDefault="00D71C19" w:rsidP="00EF0988">
      <w:pPr>
        <w:spacing w:before="120" w:after="0" w:line="240" w:lineRule="auto"/>
        <w:jc w:val="both"/>
        <w:rPr>
          <w:rFonts w:eastAsia="Times New Roman"/>
          <w:i/>
          <w:sz w:val="20"/>
        </w:rPr>
      </w:pPr>
      <w:r w:rsidRPr="008C7583">
        <w:rPr>
          <w:rFonts w:eastAsia="Times New Roman"/>
          <w:b/>
          <w:sz w:val="20"/>
          <w:u w:val="single"/>
        </w:rPr>
        <w:lastRenderedPageBreak/>
        <w:t>Horizont Európa</w:t>
      </w:r>
      <w:r w:rsidRPr="005B272D">
        <w:rPr>
          <w:rFonts w:eastAsia="Times New Roman"/>
          <w:sz w:val="20"/>
        </w:rPr>
        <w:t xml:space="preserve"> v oblasti rozširovania výskumných a inovačných kapacít, rozširovania digitalizácie a posilnenia rastu a konkurencieschopnosti MSP, a to najmä prostredníctvom zvýšenia inovačného potenciálu MSP využívaním IKT a zvyšovaním digitálnych zručností. Koordinačný mechanizmus predpokladá využitie zdrojov fondov EÚ na zabezpečenie aktívnej účasti slovenských subjektov (verejných aj súkromných) vo výskumných a inovačných partnerstvách a misiách programu Horizont Európa, EÚ misie v Horizont Európa,</w:t>
      </w:r>
      <w:r w:rsidRPr="005B272D">
        <w:rPr>
          <w:rFonts w:eastAsia="Times New Roman"/>
          <w:b/>
          <w:sz w:val="20"/>
          <w:vertAlign w:val="superscript"/>
        </w:rPr>
        <w:footnoteReference w:id="1"/>
      </w:r>
      <w:r w:rsidRPr="005B272D">
        <w:rPr>
          <w:rFonts w:eastAsia="Times New Roman"/>
          <w:sz w:val="20"/>
        </w:rPr>
        <w:t xml:space="preserve"> projektoch pre rozširovanie účasti a šírenia excelentnosti ako sú Teaming, ERA Chair, projektoch ERC, aktivitách MSCA a akciách COST, aktivitách Európskych technologických a inovačných platforiem pre SET</w:t>
      </w:r>
      <w:r w:rsidRPr="005B272D">
        <w:rPr>
          <w:rFonts w:eastAsia="Times New Roman"/>
          <w:b/>
          <w:sz w:val="20"/>
          <w:vertAlign w:val="superscript"/>
        </w:rPr>
        <w:footnoteReference w:id="2"/>
      </w:r>
      <w:r w:rsidRPr="005B272D">
        <w:rPr>
          <w:rFonts w:eastAsia="Times New Roman"/>
          <w:sz w:val="20"/>
        </w:rPr>
        <w:t>. Cieľom je zvýšenie úspešnosti slovenských žiadateľov v tomto programe a podpora účasti slovenských subjektov v európskom výskumnom priestore</w:t>
      </w:r>
      <w:r>
        <w:rPr>
          <w:rFonts w:eastAsia="Times New Roman"/>
          <w:sz w:val="20"/>
        </w:rPr>
        <w:t xml:space="preserve">. </w:t>
      </w:r>
      <w:r w:rsidRPr="008C7583">
        <w:rPr>
          <w:rFonts w:eastAsia="Times New Roman"/>
          <w:i/>
          <w:sz w:val="20"/>
        </w:rPr>
        <w:t>Z fondov EÚ sa tiež plánuje zabezpečiť aj využívanie nástroja Seal of Excellence, a to najmä prostredníc</w:t>
      </w:r>
      <w:r w:rsidR="00EF0988">
        <w:rPr>
          <w:rFonts w:eastAsia="Times New Roman"/>
          <w:i/>
          <w:sz w:val="20"/>
        </w:rPr>
        <w:t>tvom financovania projektov MSP.</w:t>
      </w:r>
      <w:r w:rsidRPr="008C7583">
        <w:rPr>
          <w:rFonts w:eastAsia="Times New Roman"/>
          <w:i/>
          <w:sz w:val="20"/>
        </w:rPr>
        <w:t xml:space="preserve"> </w:t>
      </w:r>
    </w:p>
    <w:p w:rsidR="00EF0988" w:rsidRDefault="00D71C19" w:rsidP="00EF0988">
      <w:pPr>
        <w:spacing w:before="120" w:after="0" w:line="240" w:lineRule="auto"/>
        <w:jc w:val="both"/>
        <w:rPr>
          <w:rFonts w:eastAsia="Times New Roman"/>
          <w:sz w:val="20"/>
        </w:rPr>
      </w:pPr>
      <w:r w:rsidRPr="008C7583">
        <w:rPr>
          <w:rFonts w:eastAsia="Times New Roman"/>
          <w:b/>
          <w:sz w:val="20"/>
          <w:u w:val="single"/>
        </w:rPr>
        <w:t>Erasmus+</w:t>
      </w:r>
      <w:r w:rsidRPr="005B272D">
        <w:rPr>
          <w:rFonts w:eastAsia="Times New Roman"/>
          <w:sz w:val="20"/>
        </w:rPr>
        <w:t xml:space="preserve"> v oblasti rozvoja vzdelávania a odbornej prípravy, zameraného na inteligentnú špecializáciu, priemyselnú transformáciu a podnikanie. </w:t>
      </w:r>
    </w:p>
    <w:p w:rsidR="00EF0988" w:rsidRDefault="00D71C19" w:rsidP="00EF0988">
      <w:pPr>
        <w:spacing w:before="120" w:after="0" w:line="240" w:lineRule="auto"/>
        <w:jc w:val="both"/>
        <w:rPr>
          <w:rFonts w:eastAsia="Times New Roman"/>
          <w:sz w:val="20"/>
        </w:rPr>
      </w:pPr>
      <w:r w:rsidRPr="008C7583">
        <w:rPr>
          <w:rFonts w:eastAsia="Times New Roman"/>
          <w:b/>
          <w:sz w:val="20"/>
          <w:u w:val="single"/>
        </w:rPr>
        <w:t>Digitálna Európa</w:t>
      </w:r>
      <w:r w:rsidRPr="005B272D">
        <w:rPr>
          <w:rFonts w:eastAsia="Times New Roman"/>
          <w:sz w:val="20"/>
        </w:rPr>
        <w:t xml:space="preserve"> v oblasti využívania a posilňovania kapacít vo výskume, vývoji a aplikácií vysokovýkonných výpočtov a kvantových technológií, umelej inteligencie s využitím vo verejnej správe, podnikateľskom prostredí a vedecko-výskumných inštitúciác</w:t>
      </w:r>
      <w:r>
        <w:rPr>
          <w:rFonts w:eastAsia="Times New Roman"/>
          <w:sz w:val="20"/>
        </w:rPr>
        <w:t>h.</w:t>
      </w:r>
      <w:r w:rsidR="00EF0988">
        <w:rPr>
          <w:rFonts w:eastAsia="Times New Roman"/>
          <w:sz w:val="20"/>
        </w:rPr>
        <w:t xml:space="preserve"> </w:t>
      </w:r>
      <w:r w:rsidRPr="005B272D">
        <w:rPr>
          <w:rFonts w:eastAsia="Times New Roman"/>
          <w:sz w:val="20"/>
        </w:rPr>
        <w:t>V rámci zvyšovania digitálnych a podnikateľských zručností pomocou zdrojov fondov EÚ sa počíta aj s podporou aktívnej účasti slovenských subjektov v programe Digitá</w:t>
      </w:r>
      <w:r w:rsidR="00EF0988">
        <w:rPr>
          <w:rFonts w:eastAsia="Times New Roman"/>
          <w:sz w:val="20"/>
        </w:rPr>
        <w:t>lna Európa.</w:t>
      </w:r>
    </w:p>
    <w:p w:rsidR="00EF0988" w:rsidRDefault="00D71C19" w:rsidP="00EF0988">
      <w:pPr>
        <w:spacing w:before="120" w:after="0" w:line="240" w:lineRule="auto"/>
        <w:jc w:val="both"/>
        <w:rPr>
          <w:rFonts w:eastAsia="Times New Roman"/>
          <w:sz w:val="20"/>
        </w:rPr>
      </w:pPr>
      <w:r w:rsidRPr="008C7583">
        <w:rPr>
          <w:rFonts w:eastAsia="Times New Roman"/>
          <w:b/>
          <w:sz w:val="20"/>
          <w:u w:val="single"/>
        </w:rPr>
        <w:t>Nástroj na prepájanie Európy</w:t>
      </w:r>
      <w:r w:rsidRPr="005B272D">
        <w:rPr>
          <w:rFonts w:eastAsia="Times New Roman"/>
          <w:sz w:val="20"/>
          <w:u w:val="single"/>
        </w:rPr>
        <w:t xml:space="preserve"> </w:t>
      </w:r>
      <w:r w:rsidRPr="005B272D">
        <w:rPr>
          <w:rFonts w:eastAsia="Times New Roman"/>
          <w:sz w:val="20"/>
        </w:rPr>
        <w:t>v oblasti podpory investícií do infraštruktúry digitálneho prepojenia.</w:t>
      </w:r>
    </w:p>
    <w:p w:rsidR="00D71C19" w:rsidRPr="005B272D" w:rsidRDefault="00D71C19" w:rsidP="00EF0988">
      <w:pPr>
        <w:spacing w:before="120" w:after="0" w:line="240" w:lineRule="auto"/>
        <w:jc w:val="both"/>
        <w:rPr>
          <w:rFonts w:eastAsia="Times New Roman"/>
          <w:sz w:val="20"/>
        </w:rPr>
      </w:pPr>
      <w:r w:rsidRPr="008C7583">
        <w:rPr>
          <w:rFonts w:eastAsia="Times New Roman"/>
          <w:b/>
          <w:sz w:val="20"/>
          <w:u w:val="single"/>
        </w:rPr>
        <w:t>Programom jednotného trhu</w:t>
      </w:r>
      <w:r w:rsidRPr="005B272D">
        <w:rPr>
          <w:rFonts w:eastAsia="Times New Roman"/>
          <w:sz w:val="20"/>
        </w:rPr>
        <w:t xml:space="preserve"> (vrátane COSME) v oblasti posilnenia rastu a konkurencieschopnosti MSP. </w:t>
      </w:r>
    </w:p>
    <w:p w:rsidR="00D71C19" w:rsidRPr="005B272D" w:rsidRDefault="00D71C19" w:rsidP="00D71C19">
      <w:pPr>
        <w:spacing w:line="240" w:lineRule="auto"/>
        <w:jc w:val="both"/>
        <w:rPr>
          <w:rFonts w:eastAsia="Times New Roman"/>
          <w:sz w:val="20"/>
        </w:rPr>
      </w:pPr>
      <w:r w:rsidRPr="008C7583">
        <w:rPr>
          <w:rFonts w:eastAsia="Times New Roman"/>
          <w:b/>
          <w:sz w:val="20"/>
          <w:u w:val="single"/>
        </w:rPr>
        <w:t>Fond pre vnútornú bezpečnosť</w:t>
      </w:r>
      <w:r w:rsidRPr="005B272D">
        <w:rPr>
          <w:rFonts w:eastAsia="Times New Roman"/>
          <w:sz w:val="20"/>
        </w:rPr>
        <w:t xml:space="preserve"> v oblastiach</w:t>
      </w:r>
      <w:r w:rsidRPr="005B272D">
        <w:t xml:space="preserve"> </w:t>
      </w:r>
      <w:r w:rsidRPr="005B272D">
        <w:rPr>
          <w:rFonts w:eastAsia="Times New Roman"/>
          <w:sz w:val="20"/>
        </w:rPr>
        <w:t>súvisiacich s bezpečnosťou informačných systémov, IKT a počítačovou kriminalitou.</w:t>
      </w:r>
    </w:p>
    <w:p w:rsidR="00D71C19" w:rsidRPr="005B272D" w:rsidRDefault="00D71C19" w:rsidP="00D71C19">
      <w:pPr>
        <w:spacing w:line="240" w:lineRule="auto"/>
        <w:jc w:val="both"/>
        <w:rPr>
          <w:rFonts w:eastAsia="Times New Roman"/>
          <w:sz w:val="20"/>
        </w:rPr>
      </w:pPr>
      <w:r w:rsidRPr="008C7583">
        <w:rPr>
          <w:rFonts w:eastAsia="Times New Roman"/>
          <w:b/>
          <w:sz w:val="20"/>
          <w:u w:val="single"/>
        </w:rPr>
        <w:t>Európsky vesmírny program</w:t>
      </w:r>
      <w:r w:rsidRPr="005B272D">
        <w:rPr>
          <w:rFonts w:eastAsia="Times New Roman"/>
          <w:sz w:val="20"/>
        </w:rPr>
        <w:t xml:space="preserve"> v oblasti podpory najperspektívnejších technológií, ktoré sú aplikovateľné aj v hospodárskej praxi. </w:t>
      </w:r>
    </w:p>
    <w:p w:rsidR="006575B7" w:rsidRDefault="00D71C19" w:rsidP="00D71C19">
      <w:pPr>
        <w:spacing w:after="0" w:line="240" w:lineRule="auto"/>
        <w:jc w:val="both"/>
        <w:rPr>
          <w:rFonts w:eastAsia="Times New Roman"/>
          <w:sz w:val="20"/>
        </w:rPr>
      </w:pPr>
      <w:r w:rsidRPr="008C7583">
        <w:rPr>
          <w:rFonts w:eastAsia="Times New Roman"/>
          <w:b/>
          <w:bCs/>
          <w:sz w:val="20"/>
          <w:u w:val="single"/>
        </w:rPr>
        <w:t>Európsky obranný fond</w:t>
      </w:r>
      <w:r w:rsidRPr="005B272D">
        <w:rPr>
          <w:rFonts w:eastAsia="Times New Roman"/>
          <w:bCs/>
          <w:sz w:val="20"/>
        </w:rPr>
        <w:t xml:space="preserve"> v oblasti podpory kolaboratívneho výskumu a vývoja obranných spôsobilostí a priorít obra</w:t>
      </w:r>
      <w:r w:rsidR="00EF0988">
        <w:rPr>
          <w:rFonts w:eastAsia="Times New Roman"/>
          <w:bCs/>
          <w:sz w:val="20"/>
        </w:rPr>
        <w:t>n</w:t>
      </w:r>
      <w:r w:rsidRPr="005B272D">
        <w:rPr>
          <w:rFonts w:eastAsia="Times New Roman"/>
          <w:bCs/>
          <w:sz w:val="20"/>
        </w:rPr>
        <w:t>ných kapacít, na ktorých sa spoločne dohodnú členské štáty a so zreteľom na vytváranie nových pracovných miest vo výskume a vývoji na území EÚ.</w:t>
      </w:r>
    </w:p>
    <w:p w:rsidR="00EF0988" w:rsidRDefault="00EF0988" w:rsidP="001413B9">
      <w:pPr>
        <w:rPr>
          <w:rFonts w:cstheme="minorHAnsi"/>
          <w:b/>
          <w:sz w:val="24"/>
          <w:szCs w:val="24"/>
        </w:rPr>
      </w:pPr>
    </w:p>
    <w:p w:rsidR="00412545" w:rsidRPr="00EE1F1D" w:rsidRDefault="00A13CC3">
      <w:pPr>
        <w:rPr>
          <w:b/>
        </w:rPr>
      </w:pPr>
      <w:r>
        <w:rPr>
          <w:b/>
        </w:rPr>
        <w:t>Detailnejšia i</w:t>
      </w:r>
      <w:r w:rsidR="00412545">
        <w:rPr>
          <w:b/>
        </w:rPr>
        <w:t>dentifikácia s</w:t>
      </w:r>
      <w:r w:rsidR="00412545" w:rsidRPr="00EE1F1D">
        <w:rPr>
          <w:b/>
        </w:rPr>
        <w:t>ynergi</w:t>
      </w:r>
      <w:r w:rsidR="00412545">
        <w:rPr>
          <w:b/>
        </w:rPr>
        <w:t>í</w:t>
      </w:r>
      <w:r w:rsidR="00412545" w:rsidRPr="00EE1F1D">
        <w:rPr>
          <w:b/>
        </w:rPr>
        <w:t xml:space="preserve"> medzi cieľom politiky 1 Programu Slovensko</w:t>
      </w:r>
      <w:r w:rsidR="00412545">
        <w:rPr>
          <w:b/>
        </w:rPr>
        <w:t xml:space="preserve"> 2021-2027</w:t>
      </w:r>
      <w:r w:rsidR="00412545" w:rsidRPr="00EE1F1D">
        <w:rPr>
          <w:b/>
        </w:rPr>
        <w:t xml:space="preserve"> a programom EÚ pre výskum a inovácie Horizont Európa</w:t>
      </w:r>
    </w:p>
    <w:tbl>
      <w:tblPr>
        <w:tblStyle w:val="Mriekatabuky"/>
        <w:tblW w:w="13993" w:type="dxa"/>
        <w:tblLayout w:type="fixed"/>
        <w:tblLook w:val="04A0" w:firstRow="1" w:lastRow="0" w:firstColumn="1" w:lastColumn="0" w:noHBand="0" w:noVBand="1"/>
      </w:tblPr>
      <w:tblGrid>
        <w:gridCol w:w="1134"/>
        <w:gridCol w:w="2263"/>
        <w:gridCol w:w="520"/>
        <w:gridCol w:w="520"/>
        <w:gridCol w:w="661"/>
        <w:gridCol w:w="550"/>
        <w:gridCol w:w="691"/>
        <w:gridCol w:w="691"/>
        <w:gridCol w:w="691"/>
        <w:gridCol w:w="638"/>
        <w:gridCol w:w="850"/>
        <w:gridCol w:w="567"/>
        <w:gridCol w:w="720"/>
        <w:gridCol w:w="556"/>
        <w:gridCol w:w="709"/>
        <w:gridCol w:w="1186"/>
        <w:gridCol w:w="1046"/>
      </w:tblGrid>
      <w:tr w:rsidR="00412545" w:rsidTr="00412545">
        <w:tc>
          <w:tcPr>
            <w:tcW w:w="3397"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tcPr>
          <w:p w:rsidR="00412545" w:rsidRPr="00C06FA0" w:rsidRDefault="00412545" w:rsidP="00412545">
            <w:pPr>
              <w:jc w:val="right"/>
              <w:rPr>
                <w:b/>
                <w:color w:val="FFFFFF" w:themeColor="background1"/>
                <w:sz w:val="20"/>
                <w:szCs w:val="20"/>
              </w:rPr>
            </w:pPr>
            <w:r w:rsidRPr="00C06FA0">
              <w:rPr>
                <w:b/>
                <w:color w:val="FFFFFF" w:themeColor="background1"/>
                <w:sz w:val="20"/>
                <w:szCs w:val="20"/>
              </w:rPr>
              <w:t>Pilier Horizontu Európa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tcPr>
          <w:p w:rsidR="00412545" w:rsidRPr="00C06FA0" w:rsidRDefault="00412545" w:rsidP="00412545">
            <w:pPr>
              <w:rPr>
                <w:b/>
                <w:color w:val="FFFFFF" w:themeColor="background1"/>
                <w:sz w:val="20"/>
                <w:szCs w:val="20"/>
              </w:rPr>
            </w:pPr>
            <w:r w:rsidRPr="00C06FA0">
              <w:rPr>
                <w:b/>
                <w:color w:val="FFFFFF" w:themeColor="background1"/>
                <w:sz w:val="20"/>
                <w:szCs w:val="20"/>
              </w:rPr>
              <w:t>I. pilier Excelentná veda</w:t>
            </w:r>
          </w:p>
        </w:tc>
        <w:tc>
          <w:tcPr>
            <w:tcW w:w="4678" w:type="dxa"/>
            <w:gridSpan w:val="7"/>
            <w:tcBorders>
              <w:top w:val="single" w:sz="4" w:space="0" w:color="auto"/>
              <w:left w:val="single" w:sz="4" w:space="0" w:color="auto"/>
              <w:bottom w:val="single" w:sz="4" w:space="0" w:color="auto"/>
              <w:right w:val="single" w:sz="4" w:space="0" w:color="auto"/>
            </w:tcBorders>
            <w:shd w:val="clear" w:color="auto" w:fill="1F3864" w:themeFill="accent5" w:themeFillShade="80"/>
          </w:tcPr>
          <w:p w:rsidR="00412545" w:rsidRPr="00C06FA0" w:rsidRDefault="00412545">
            <w:pPr>
              <w:rPr>
                <w:b/>
                <w:color w:val="FFFFFF" w:themeColor="background1"/>
                <w:sz w:val="20"/>
                <w:szCs w:val="20"/>
              </w:rPr>
            </w:pPr>
            <w:r w:rsidRPr="00C06FA0">
              <w:rPr>
                <w:b/>
                <w:color w:val="FFFFFF" w:themeColor="background1"/>
                <w:sz w:val="20"/>
                <w:szCs w:val="20"/>
              </w:rPr>
              <w:t>II. pilier Globálne výzvy a konkurencieschopnosť európskeho priemyslu - klastre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tcPr>
          <w:p w:rsidR="00412545" w:rsidRPr="00C06FA0" w:rsidRDefault="00412545" w:rsidP="00412545">
            <w:pPr>
              <w:rPr>
                <w:b/>
                <w:color w:val="FFFFFF" w:themeColor="background1"/>
                <w:sz w:val="20"/>
                <w:szCs w:val="20"/>
              </w:rPr>
            </w:pPr>
            <w:r w:rsidRPr="00C06FA0">
              <w:rPr>
                <w:b/>
                <w:color w:val="FFFFFF" w:themeColor="background1"/>
                <w:sz w:val="20"/>
                <w:szCs w:val="20"/>
              </w:rPr>
              <w:t>III. pilier Inovatívna Európa</w:t>
            </w:r>
          </w:p>
        </w:tc>
        <w:tc>
          <w:tcPr>
            <w:tcW w:w="2232"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tcPr>
          <w:p w:rsidR="00412545" w:rsidRPr="00C06FA0" w:rsidRDefault="00412545">
            <w:pPr>
              <w:rPr>
                <w:b/>
                <w:color w:val="FFFFFF" w:themeColor="background1"/>
                <w:sz w:val="20"/>
                <w:szCs w:val="20"/>
              </w:rPr>
            </w:pPr>
            <w:r w:rsidRPr="00C06FA0">
              <w:rPr>
                <w:b/>
                <w:color w:val="FFFFFF" w:themeColor="background1"/>
                <w:sz w:val="20"/>
                <w:szCs w:val="20"/>
              </w:rPr>
              <w:t>Rozširovanie účasti a posilnenie Európskeho výskumného priestoru</w:t>
            </w:r>
          </w:p>
        </w:tc>
      </w:tr>
      <w:tr w:rsidR="00412545" w:rsidTr="00412545">
        <w:trPr>
          <w:cantSplit/>
          <w:trHeight w:val="3227"/>
        </w:trPr>
        <w:tc>
          <w:tcPr>
            <w:tcW w:w="3397" w:type="dxa"/>
            <w:gridSpan w:val="2"/>
            <w:tcBorders>
              <w:top w:val="single" w:sz="4" w:space="0" w:color="auto"/>
              <w:left w:val="single" w:sz="4" w:space="0" w:color="auto"/>
              <w:bottom w:val="single" w:sz="4" w:space="0" w:color="auto"/>
              <w:right w:val="single" w:sz="4" w:space="0" w:color="auto"/>
            </w:tcBorders>
            <w:vAlign w:val="center"/>
          </w:tcPr>
          <w:p w:rsidR="00412545" w:rsidRPr="00C06FA0" w:rsidRDefault="00412545" w:rsidP="00412545">
            <w:pPr>
              <w:jc w:val="right"/>
              <w:rPr>
                <w:b/>
                <w:sz w:val="20"/>
                <w:szCs w:val="20"/>
              </w:rPr>
            </w:pPr>
            <w:r w:rsidRPr="00C06FA0">
              <w:rPr>
                <w:b/>
                <w:sz w:val="20"/>
                <w:szCs w:val="20"/>
              </w:rPr>
              <w:lastRenderedPageBreak/>
              <w:t>Zložky pilierov Horizontu Európa</w:t>
            </w:r>
          </w:p>
        </w:tc>
        <w:tc>
          <w:tcPr>
            <w:tcW w:w="520"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Európska rada pre výskum</w:t>
            </w:r>
          </w:p>
        </w:tc>
        <w:tc>
          <w:tcPr>
            <w:tcW w:w="520"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Akcie Marie Curie-Skłodowskej</w:t>
            </w:r>
          </w:p>
        </w:tc>
        <w:tc>
          <w:tcPr>
            <w:tcW w:w="661"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Výskumné infraštruktúry</w:t>
            </w:r>
          </w:p>
        </w:tc>
        <w:tc>
          <w:tcPr>
            <w:tcW w:w="550"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Zdravie</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Kultúra, tvorivosť a inkluzívna spoločnosť</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Civilná bezpečnosť pre spoločnosť</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Digitalizácia, priemysel a vesmír</w:t>
            </w:r>
          </w:p>
        </w:tc>
        <w:tc>
          <w:tcPr>
            <w:tcW w:w="638"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Klíma, energetika a mobilita</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Potraviny, biohospodárstvo, prírodné zdroje, poľnohospodárstvo a životné prostredie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Spoločné výskumné centrum (JRC)</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Európska rada pre inovácie</w:t>
            </w:r>
          </w:p>
        </w:tc>
        <w:tc>
          <w:tcPr>
            <w:tcW w:w="556"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Európske inovačné ekosystémy</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4E3F45">
              <w:rPr>
                <w:b/>
                <w:sz w:val="20"/>
                <w:szCs w:val="20"/>
              </w:rPr>
              <w:t>Európsky inovačný a technologický inštitút (EIT)</w:t>
            </w:r>
          </w:p>
        </w:tc>
        <w:tc>
          <w:tcPr>
            <w:tcW w:w="1186"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Rozširovanie účasti a šírenie excelentnosti</w:t>
            </w:r>
          </w:p>
        </w:tc>
        <w:tc>
          <w:tcPr>
            <w:tcW w:w="1046" w:type="dxa"/>
            <w:tcBorders>
              <w:top w:val="single" w:sz="4" w:space="0" w:color="auto"/>
              <w:left w:val="single" w:sz="4" w:space="0" w:color="auto"/>
              <w:bottom w:val="single" w:sz="4" w:space="0" w:color="auto"/>
              <w:right w:val="single" w:sz="4" w:space="0" w:color="auto"/>
            </w:tcBorders>
            <w:textDirection w:val="btLr"/>
            <w:vAlign w:val="center"/>
          </w:tcPr>
          <w:p w:rsidR="00412545" w:rsidRPr="00C06FA0" w:rsidRDefault="00412545" w:rsidP="00412545">
            <w:pPr>
              <w:ind w:left="113" w:right="113"/>
              <w:rPr>
                <w:b/>
                <w:sz w:val="20"/>
                <w:szCs w:val="20"/>
              </w:rPr>
            </w:pPr>
            <w:r w:rsidRPr="00C06FA0">
              <w:rPr>
                <w:b/>
                <w:sz w:val="20"/>
                <w:szCs w:val="20"/>
              </w:rPr>
              <w:t>Reforma a zlepšenie európskeho systému výskumu a inovácií</w:t>
            </w:r>
          </w:p>
        </w:tc>
      </w:tr>
      <w:tr w:rsidR="00412545" w:rsidTr="00412545">
        <w:trPr>
          <w:trHeight w:val="551"/>
        </w:trPr>
        <w:tc>
          <w:tcPr>
            <w:tcW w:w="1134" w:type="dxa"/>
            <w:tcBorders>
              <w:top w:val="single" w:sz="4" w:space="0" w:color="auto"/>
              <w:left w:val="single" w:sz="4" w:space="0" w:color="auto"/>
              <w:right w:val="single" w:sz="4" w:space="0" w:color="auto"/>
            </w:tcBorders>
            <w:shd w:val="clear" w:color="auto" w:fill="1F3864" w:themeFill="accent5" w:themeFillShade="80"/>
          </w:tcPr>
          <w:p w:rsidR="00412545" w:rsidRPr="00C06FA0" w:rsidRDefault="00412545" w:rsidP="00412545">
            <w:pPr>
              <w:spacing w:line="200" w:lineRule="atLeast"/>
              <w:rPr>
                <w:rFonts w:cstheme="minorHAnsi"/>
                <w:b/>
                <w:color w:val="FFFFFF" w:themeColor="background1"/>
                <w:sz w:val="20"/>
                <w:szCs w:val="20"/>
              </w:rPr>
            </w:pPr>
            <w:r w:rsidRPr="00C06FA0">
              <w:rPr>
                <w:rFonts w:cstheme="minorHAnsi"/>
                <w:b/>
                <w:color w:val="FFFFFF" w:themeColor="background1"/>
                <w:sz w:val="20"/>
                <w:szCs w:val="20"/>
              </w:rPr>
              <w:t>Špecifický cieľ PSK</w:t>
            </w:r>
          </w:p>
        </w:tc>
        <w:tc>
          <w:tcPr>
            <w:tcW w:w="2263" w:type="dxa"/>
            <w:tcBorders>
              <w:top w:val="single" w:sz="4" w:space="0" w:color="auto"/>
              <w:left w:val="single" w:sz="4" w:space="0" w:color="auto"/>
              <w:bottom w:val="single" w:sz="4" w:space="0" w:color="auto"/>
              <w:right w:val="single" w:sz="4" w:space="0" w:color="auto"/>
            </w:tcBorders>
          </w:tcPr>
          <w:p w:rsidR="00412545" w:rsidRPr="00C06FA0" w:rsidRDefault="00412545" w:rsidP="00412545">
            <w:pPr>
              <w:rPr>
                <w:b/>
                <w:sz w:val="20"/>
                <w:szCs w:val="20"/>
              </w:rPr>
            </w:pPr>
            <w:r w:rsidRPr="00C06FA0">
              <w:rPr>
                <w:b/>
                <w:sz w:val="20"/>
                <w:szCs w:val="20"/>
              </w:rPr>
              <w:t>Opatrenie PSK</w:t>
            </w:r>
          </w:p>
        </w:tc>
        <w:tc>
          <w:tcPr>
            <w:tcW w:w="10596" w:type="dxa"/>
            <w:gridSpan w:val="15"/>
            <w:tcBorders>
              <w:top w:val="single" w:sz="4" w:space="0" w:color="auto"/>
              <w:left w:val="single" w:sz="4" w:space="0" w:color="auto"/>
              <w:bottom w:val="single" w:sz="4" w:space="0" w:color="auto"/>
              <w:right w:val="single" w:sz="4" w:space="0" w:color="auto"/>
            </w:tcBorders>
          </w:tcPr>
          <w:p w:rsidR="00412545" w:rsidRDefault="00412545" w:rsidP="00412545"/>
        </w:tc>
      </w:tr>
      <w:tr w:rsidR="00412545" w:rsidTr="00412545">
        <w:trPr>
          <w:trHeight w:val="879"/>
        </w:trPr>
        <w:tc>
          <w:tcPr>
            <w:tcW w:w="1134" w:type="dxa"/>
            <w:vMerge w:val="restart"/>
            <w:tcBorders>
              <w:top w:val="single" w:sz="4" w:space="0" w:color="auto"/>
              <w:left w:val="single" w:sz="4" w:space="0" w:color="auto"/>
              <w:right w:val="single" w:sz="4" w:space="0" w:color="auto"/>
            </w:tcBorders>
            <w:shd w:val="clear" w:color="auto" w:fill="1F3864" w:themeFill="accent5" w:themeFillShade="80"/>
            <w:textDirection w:val="btLr"/>
          </w:tcPr>
          <w:p w:rsidR="00412545" w:rsidRPr="00C06FA0" w:rsidRDefault="00412545" w:rsidP="00412545">
            <w:pPr>
              <w:spacing w:line="200" w:lineRule="atLeast"/>
              <w:ind w:left="113" w:right="113"/>
              <w:rPr>
                <w:rFonts w:cstheme="minorHAnsi"/>
                <w:b/>
                <w:color w:val="FFFFFF" w:themeColor="background1"/>
                <w:sz w:val="20"/>
                <w:szCs w:val="20"/>
              </w:rPr>
            </w:pPr>
            <w:r w:rsidRPr="00C06FA0">
              <w:rPr>
                <w:rFonts w:cstheme="minorHAnsi"/>
                <w:b/>
                <w:color w:val="FFFFFF" w:themeColor="background1"/>
                <w:sz w:val="20"/>
                <w:szCs w:val="20"/>
              </w:rPr>
              <w:t>RSO1.1 Rozvoj a rozšírenie výskumných a inovačných kapacít a využívania pokročilých technológií</w:t>
            </w:r>
          </w:p>
        </w:tc>
        <w:tc>
          <w:tcPr>
            <w:tcW w:w="2263" w:type="dxa"/>
            <w:tcBorders>
              <w:top w:val="single" w:sz="4" w:space="0" w:color="auto"/>
              <w:left w:val="single" w:sz="4" w:space="0" w:color="auto"/>
              <w:bottom w:val="single" w:sz="4" w:space="0" w:color="auto"/>
              <w:right w:val="single" w:sz="4" w:space="0" w:color="auto"/>
            </w:tcBorders>
            <w:vAlign w:val="center"/>
          </w:tcPr>
          <w:p w:rsidR="00412545" w:rsidRPr="000C6E10" w:rsidRDefault="00412545" w:rsidP="00412545">
            <w:pPr>
              <w:rPr>
                <w:sz w:val="20"/>
                <w:szCs w:val="20"/>
              </w:rPr>
            </w:pPr>
            <w:r w:rsidRPr="000C6E10">
              <w:rPr>
                <w:sz w:val="20"/>
                <w:szCs w:val="20"/>
              </w:rPr>
              <w:t>Podpora medzisektorovej spolupráce v oblasti VVaI a zvyšovanie VaI kapacít v podnikoch</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r>
      <w:tr w:rsidR="00412545" w:rsidTr="00412545">
        <w:trPr>
          <w:trHeight w:val="879"/>
        </w:trPr>
        <w:tc>
          <w:tcPr>
            <w:tcW w:w="1134" w:type="dxa"/>
            <w:vMerge/>
            <w:tcBorders>
              <w:left w:val="single" w:sz="4" w:space="0" w:color="auto"/>
              <w:right w:val="single" w:sz="4" w:space="0" w:color="auto"/>
            </w:tcBorders>
            <w:shd w:val="clear" w:color="auto" w:fill="1F3864" w:themeFill="accent5" w:themeFillShade="80"/>
          </w:tcPr>
          <w:p w:rsidR="00412545" w:rsidRPr="00C06FA0" w:rsidRDefault="00412545" w:rsidP="00412545">
            <w:pPr>
              <w:spacing w:line="200" w:lineRule="atLeast"/>
              <w:rPr>
                <w:rFonts w:cstheme="minorHAnsi"/>
                <w:b/>
                <w:color w:val="FFFFFF" w:themeColor="background1"/>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12545" w:rsidRPr="000C6E10" w:rsidRDefault="00412545" w:rsidP="00412545">
            <w:pPr>
              <w:rPr>
                <w:sz w:val="20"/>
                <w:szCs w:val="20"/>
              </w:rPr>
            </w:pPr>
            <w:r w:rsidRPr="000C6E10">
              <w:rPr>
                <w:sz w:val="20"/>
                <w:szCs w:val="20"/>
              </w:rPr>
              <w:t>Podpora ľudských zdrojov v oblasti výskumu, vývoja a inovácií</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r>
      <w:tr w:rsidR="00412545" w:rsidTr="00412545">
        <w:trPr>
          <w:trHeight w:val="879"/>
        </w:trPr>
        <w:tc>
          <w:tcPr>
            <w:tcW w:w="1134" w:type="dxa"/>
            <w:vMerge/>
            <w:tcBorders>
              <w:left w:val="single" w:sz="4" w:space="0" w:color="auto"/>
              <w:right w:val="single" w:sz="4" w:space="0" w:color="auto"/>
            </w:tcBorders>
            <w:shd w:val="clear" w:color="auto" w:fill="1F3864" w:themeFill="accent5" w:themeFillShade="80"/>
          </w:tcPr>
          <w:p w:rsidR="00412545" w:rsidRPr="00C06FA0" w:rsidRDefault="00412545" w:rsidP="00412545">
            <w:pPr>
              <w:spacing w:line="200" w:lineRule="atLeast"/>
              <w:rPr>
                <w:rFonts w:cstheme="minorHAnsi"/>
                <w:b/>
                <w:color w:val="FFFFFF" w:themeColor="background1"/>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12545" w:rsidRPr="000C6E10" w:rsidRDefault="00412545" w:rsidP="00412545">
            <w:pPr>
              <w:rPr>
                <w:sz w:val="20"/>
                <w:szCs w:val="20"/>
              </w:rPr>
            </w:pPr>
            <w:r w:rsidRPr="000C6E10">
              <w:rPr>
                <w:sz w:val="20"/>
                <w:szCs w:val="20"/>
              </w:rPr>
              <w:t>Podpora medzinárodnej spolupráce v oblasti výskumu, vývoja a inovácií</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r>
      <w:tr w:rsidR="00412545" w:rsidTr="00412545">
        <w:trPr>
          <w:trHeight w:val="879"/>
        </w:trPr>
        <w:tc>
          <w:tcPr>
            <w:tcW w:w="1134" w:type="dxa"/>
            <w:vMerge/>
            <w:tcBorders>
              <w:left w:val="single" w:sz="4" w:space="0" w:color="auto"/>
              <w:bottom w:val="single" w:sz="4" w:space="0" w:color="auto"/>
              <w:right w:val="single" w:sz="4" w:space="0" w:color="auto"/>
            </w:tcBorders>
            <w:shd w:val="clear" w:color="auto" w:fill="1F3864" w:themeFill="accent5" w:themeFillShade="80"/>
          </w:tcPr>
          <w:p w:rsidR="00412545" w:rsidRPr="00C06FA0" w:rsidRDefault="00412545" w:rsidP="00412545">
            <w:pPr>
              <w:spacing w:line="200" w:lineRule="atLeast"/>
              <w:rPr>
                <w:rFonts w:cstheme="minorHAnsi"/>
                <w:b/>
                <w:color w:val="FFFFFF" w:themeColor="background1"/>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12545" w:rsidRPr="000C6E10" w:rsidRDefault="00412545" w:rsidP="00412545">
            <w:pPr>
              <w:rPr>
                <w:sz w:val="20"/>
                <w:szCs w:val="20"/>
              </w:rPr>
            </w:pPr>
            <w:r w:rsidRPr="000C6E10">
              <w:rPr>
                <w:sz w:val="20"/>
                <w:szCs w:val="20"/>
              </w:rPr>
              <w:t>Podpora optimalizácie, rozvoja a modernizácie výskumnej infraštruktúry</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r>
      <w:tr w:rsidR="00412545" w:rsidTr="00412545">
        <w:trPr>
          <w:trHeight w:val="1412"/>
        </w:trPr>
        <w:tc>
          <w:tcPr>
            <w:tcW w:w="1134" w:type="dxa"/>
            <w:vMerge w:val="restart"/>
            <w:tcBorders>
              <w:top w:val="single" w:sz="4" w:space="0" w:color="auto"/>
              <w:left w:val="single" w:sz="4" w:space="0" w:color="auto"/>
              <w:right w:val="single" w:sz="4" w:space="0" w:color="auto"/>
            </w:tcBorders>
            <w:shd w:val="clear" w:color="auto" w:fill="1F3864" w:themeFill="accent5" w:themeFillShade="80"/>
            <w:textDirection w:val="btLr"/>
            <w:hideMark/>
          </w:tcPr>
          <w:p w:rsidR="00412545" w:rsidRPr="00C06FA0" w:rsidRDefault="00412545" w:rsidP="00412545">
            <w:pPr>
              <w:spacing w:line="200" w:lineRule="atLeast"/>
              <w:ind w:left="113" w:right="113"/>
              <w:rPr>
                <w:b/>
                <w:color w:val="FFFFFF" w:themeColor="background1"/>
                <w:sz w:val="20"/>
                <w:szCs w:val="20"/>
              </w:rPr>
            </w:pPr>
            <w:r w:rsidRPr="00C06FA0">
              <w:rPr>
                <w:rFonts w:cstheme="minorHAnsi"/>
                <w:b/>
                <w:color w:val="FFFFFF" w:themeColor="background1"/>
                <w:sz w:val="20"/>
                <w:szCs w:val="20"/>
              </w:rPr>
              <w:lastRenderedPageBreak/>
              <w:t>RSO1.2 Využívanie prínosov digitalizácie pre občanov, podniky, výskumné organizácie a orgány verejnej správy</w:t>
            </w:r>
          </w:p>
        </w:tc>
        <w:tc>
          <w:tcPr>
            <w:tcW w:w="2263" w:type="dxa"/>
            <w:tcBorders>
              <w:top w:val="single" w:sz="4" w:space="0" w:color="auto"/>
              <w:left w:val="single" w:sz="4" w:space="0" w:color="auto"/>
              <w:bottom w:val="single" w:sz="4" w:space="0" w:color="auto"/>
              <w:right w:val="single" w:sz="4" w:space="0" w:color="auto"/>
            </w:tcBorders>
            <w:vAlign w:val="center"/>
          </w:tcPr>
          <w:p w:rsidR="00412545" w:rsidRPr="000C6E10" w:rsidRDefault="00412545" w:rsidP="00412545">
            <w:pPr>
              <w:rPr>
                <w:sz w:val="20"/>
                <w:szCs w:val="20"/>
              </w:rPr>
            </w:pPr>
            <w:r w:rsidRPr="000C6E10">
              <w:rPr>
                <w:sz w:val="20"/>
                <w:szCs w:val="20"/>
              </w:rPr>
              <w:t>Podpora v oblasti informatizácie a digitálnej transformácie</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r>
      <w:tr w:rsidR="00412545" w:rsidTr="00412545">
        <w:trPr>
          <w:trHeight w:val="1412"/>
        </w:trPr>
        <w:tc>
          <w:tcPr>
            <w:tcW w:w="1134" w:type="dxa"/>
            <w:vMerge/>
            <w:tcBorders>
              <w:left w:val="single" w:sz="4" w:space="0" w:color="auto"/>
              <w:bottom w:val="single" w:sz="4" w:space="0" w:color="auto"/>
              <w:right w:val="single" w:sz="4" w:space="0" w:color="auto"/>
            </w:tcBorders>
            <w:shd w:val="clear" w:color="auto" w:fill="1F3864" w:themeFill="accent5" w:themeFillShade="80"/>
            <w:hideMark/>
          </w:tcPr>
          <w:p w:rsidR="00412545" w:rsidRPr="00C06FA0" w:rsidRDefault="00412545" w:rsidP="00412545">
            <w:pPr>
              <w:spacing w:line="200" w:lineRule="atLeast"/>
              <w:rPr>
                <w:b/>
                <w:color w:val="FFFFFF" w:themeColor="background1"/>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12545" w:rsidRPr="000C6E10" w:rsidRDefault="00412545" w:rsidP="00412545">
            <w:pPr>
              <w:rPr>
                <w:sz w:val="20"/>
                <w:szCs w:val="20"/>
              </w:rPr>
            </w:pPr>
            <w:r w:rsidRPr="000C6E10">
              <w:rPr>
                <w:sz w:val="20"/>
                <w:szCs w:val="20"/>
              </w:rPr>
              <w:t>Podpora budovania inteligentných miest a regiónov</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r>
      <w:tr w:rsidR="00412545" w:rsidTr="00412545">
        <w:trPr>
          <w:trHeight w:val="1070"/>
        </w:trPr>
        <w:tc>
          <w:tcPr>
            <w:tcW w:w="1134" w:type="dxa"/>
            <w:vMerge w:val="restart"/>
            <w:tcBorders>
              <w:top w:val="single" w:sz="4" w:space="0" w:color="auto"/>
              <w:left w:val="single" w:sz="4" w:space="0" w:color="auto"/>
              <w:right w:val="single" w:sz="4" w:space="0" w:color="auto"/>
            </w:tcBorders>
            <w:shd w:val="clear" w:color="auto" w:fill="1F3864" w:themeFill="accent5" w:themeFillShade="80"/>
            <w:textDirection w:val="btLr"/>
          </w:tcPr>
          <w:p w:rsidR="00412545" w:rsidRPr="00C06FA0" w:rsidRDefault="00412545" w:rsidP="00412545">
            <w:pPr>
              <w:spacing w:line="200" w:lineRule="atLeast"/>
              <w:ind w:left="113" w:right="113"/>
              <w:rPr>
                <w:rFonts w:cstheme="minorHAnsi"/>
                <w:b/>
                <w:color w:val="FFFFFF" w:themeColor="background1"/>
                <w:sz w:val="20"/>
                <w:szCs w:val="20"/>
              </w:rPr>
            </w:pPr>
            <w:r w:rsidRPr="00C06FA0">
              <w:rPr>
                <w:rFonts w:cstheme="minorHAnsi"/>
                <w:b/>
                <w:color w:val="FFFFFF" w:themeColor="background1"/>
                <w:sz w:val="20"/>
                <w:szCs w:val="20"/>
              </w:rPr>
              <w:t>RSO1.3 Posilnenie udržateľného rastu a konkurencieschopnosti MSP a tvorby pracovných miest v MSP, a to aj produktívnymi investíciami</w:t>
            </w:r>
          </w:p>
        </w:tc>
        <w:tc>
          <w:tcPr>
            <w:tcW w:w="2263" w:type="dxa"/>
            <w:tcBorders>
              <w:top w:val="single" w:sz="4" w:space="0" w:color="auto"/>
              <w:left w:val="single" w:sz="4" w:space="0" w:color="auto"/>
              <w:bottom w:val="single" w:sz="4" w:space="0" w:color="auto"/>
              <w:right w:val="single" w:sz="4" w:space="0" w:color="auto"/>
            </w:tcBorders>
            <w:vAlign w:val="center"/>
          </w:tcPr>
          <w:p w:rsidR="00412545" w:rsidRPr="000C6E10" w:rsidRDefault="00412545" w:rsidP="00412545">
            <w:pPr>
              <w:rPr>
                <w:sz w:val="20"/>
                <w:szCs w:val="20"/>
              </w:rPr>
            </w:pPr>
            <w:r w:rsidRPr="000C6E10">
              <w:rPr>
                <w:sz w:val="20"/>
                <w:szCs w:val="20"/>
              </w:rPr>
              <w:t>Podpora malého a stredného podnikania</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r>
      <w:tr w:rsidR="00412545" w:rsidTr="00412545">
        <w:trPr>
          <w:trHeight w:val="1070"/>
        </w:trPr>
        <w:tc>
          <w:tcPr>
            <w:tcW w:w="1134" w:type="dxa"/>
            <w:vMerge/>
            <w:tcBorders>
              <w:left w:val="single" w:sz="4" w:space="0" w:color="auto"/>
              <w:right w:val="single" w:sz="4" w:space="0" w:color="auto"/>
            </w:tcBorders>
            <w:shd w:val="clear" w:color="auto" w:fill="1F3864" w:themeFill="accent5" w:themeFillShade="80"/>
          </w:tcPr>
          <w:p w:rsidR="00412545" w:rsidRPr="00C06FA0" w:rsidRDefault="00412545" w:rsidP="00412545">
            <w:pPr>
              <w:spacing w:line="200" w:lineRule="atLeast"/>
              <w:rPr>
                <w:rFonts w:cstheme="minorHAnsi"/>
                <w:b/>
                <w:color w:val="FFFFFF" w:themeColor="background1"/>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12545" w:rsidRPr="000C6E10" w:rsidRDefault="00412545" w:rsidP="00412545">
            <w:pPr>
              <w:rPr>
                <w:sz w:val="20"/>
                <w:szCs w:val="20"/>
              </w:rPr>
            </w:pPr>
            <w:r w:rsidRPr="000C6E10">
              <w:rPr>
                <w:sz w:val="20"/>
                <w:szCs w:val="20"/>
              </w:rPr>
              <w:t>Internacionalizácia malého a stredného podnikania</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r>
      <w:tr w:rsidR="00412545" w:rsidTr="00412545">
        <w:trPr>
          <w:trHeight w:val="1070"/>
        </w:trPr>
        <w:tc>
          <w:tcPr>
            <w:tcW w:w="1134" w:type="dxa"/>
            <w:vMerge/>
            <w:tcBorders>
              <w:left w:val="single" w:sz="4" w:space="0" w:color="auto"/>
              <w:bottom w:val="single" w:sz="4" w:space="0" w:color="auto"/>
              <w:right w:val="single" w:sz="4" w:space="0" w:color="auto"/>
            </w:tcBorders>
            <w:shd w:val="clear" w:color="auto" w:fill="1F3864" w:themeFill="accent5" w:themeFillShade="80"/>
            <w:hideMark/>
          </w:tcPr>
          <w:p w:rsidR="00412545" w:rsidRPr="00C06FA0" w:rsidRDefault="00412545" w:rsidP="00412545">
            <w:pPr>
              <w:spacing w:line="200" w:lineRule="atLeast"/>
              <w:rPr>
                <w:b/>
                <w:color w:val="FFFFFF" w:themeColor="background1"/>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12545" w:rsidRPr="000C6E10" w:rsidRDefault="00412545" w:rsidP="00412545">
            <w:pPr>
              <w:rPr>
                <w:sz w:val="20"/>
                <w:szCs w:val="20"/>
              </w:rPr>
            </w:pPr>
            <w:r w:rsidRPr="000C6E10">
              <w:rPr>
                <w:sz w:val="20"/>
                <w:szCs w:val="20"/>
              </w:rPr>
              <w:t>Podpora sieťovania podnikateľských subjektov</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r>
      <w:tr w:rsidR="00412545" w:rsidTr="00412545">
        <w:trPr>
          <w:trHeight w:val="1275"/>
        </w:trPr>
        <w:tc>
          <w:tcPr>
            <w:tcW w:w="1134" w:type="dxa"/>
            <w:vMerge w:val="restart"/>
            <w:tcBorders>
              <w:top w:val="single" w:sz="4" w:space="0" w:color="auto"/>
              <w:left w:val="single" w:sz="4" w:space="0" w:color="auto"/>
              <w:right w:val="single" w:sz="4" w:space="0" w:color="auto"/>
            </w:tcBorders>
            <w:shd w:val="clear" w:color="auto" w:fill="1F3864" w:themeFill="accent5" w:themeFillShade="80"/>
            <w:textDirection w:val="btLr"/>
          </w:tcPr>
          <w:p w:rsidR="00412545" w:rsidRPr="00C06FA0" w:rsidRDefault="00412545" w:rsidP="00412545">
            <w:pPr>
              <w:keepNext/>
              <w:spacing w:line="200" w:lineRule="atLeast"/>
              <w:ind w:left="113" w:right="113"/>
              <w:rPr>
                <w:rFonts w:cstheme="minorHAnsi"/>
                <w:b/>
                <w:color w:val="FFFFFF" w:themeColor="background1"/>
                <w:sz w:val="20"/>
                <w:szCs w:val="20"/>
              </w:rPr>
            </w:pPr>
            <w:r w:rsidRPr="00C06FA0">
              <w:rPr>
                <w:rFonts w:cstheme="minorHAnsi"/>
                <w:b/>
                <w:color w:val="FFFFFF" w:themeColor="background1"/>
                <w:sz w:val="20"/>
                <w:szCs w:val="20"/>
              </w:rPr>
              <w:t>RSO1.4 Rozvoj zručností pre inteligentnú špecializáciu, priemyselnú transformáciu a podnikanie</w:t>
            </w:r>
          </w:p>
        </w:tc>
        <w:tc>
          <w:tcPr>
            <w:tcW w:w="2263" w:type="dxa"/>
            <w:tcBorders>
              <w:top w:val="single" w:sz="4" w:space="0" w:color="auto"/>
              <w:left w:val="single" w:sz="4" w:space="0" w:color="auto"/>
              <w:bottom w:val="single" w:sz="4" w:space="0" w:color="auto"/>
              <w:right w:val="single" w:sz="4" w:space="0" w:color="auto"/>
            </w:tcBorders>
            <w:vAlign w:val="center"/>
          </w:tcPr>
          <w:p w:rsidR="00412545" w:rsidRPr="000C6E10" w:rsidRDefault="00412545" w:rsidP="00412545">
            <w:pPr>
              <w:keepNext/>
              <w:rPr>
                <w:sz w:val="20"/>
                <w:szCs w:val="20"/>
              </w:rPr>
            </w:pPr>
            <w:r w:rsidRPr="000C6E10">
              <w:rPr>
                <w:sz w:val="20"/>
                <w:szCs w:val="20"/>
              </w:rPr>
              <w:t>Zručnosti pre posilnenie konkurencieschopnosti a hospodárskeho rastu a budovanie kapacít pre RIS3</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keepNext/>
              <w:jc w:val="center"/>
              <w:rPr>
                <w:rFonts w:cstheme="minorHAnsi"/>
                <w:sz w:val="20"/>
                <w:szCs w:val="20"/>
              </w:rPr>
            </w:pPr>
            <w:r>
              <w:rPr>
                <w:rFonts w:cstheme="minorHAnsi"/>
                <w:sz w:val="20"/>
                <w:szCs w:val="20"/>
              </w:rPr>
              <w:t>X</w:t>
            </w: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keepNext/>
              <w:jc w:val="center"/>
              <w:rPr>
                <w:rFonts w:cstheme="minorHAnsi"/>
                <w:sz w:val="20"/>
                <w:szCs w:val="20"/>
              </w:rPr>
            </w:pPr>
          </w:p>
        </w:tc>
      </w:tr>
      <w:tr w:rsidR="00412545" w:rsidTr="00412545">
        <w:trPr>
          <w:trHeight w:val="1407"/>
        </w:trPr>
        <w:tc>
          <w:tcPr>
            <w:tcW w:w="1134" w:type="dxa"/>
            <w:vMerge/>
            <w:tcBorders>
              <w:left w:val="single" w:sz="4" w:space="0" w:color="auto"/>
              <w:bottom w:val="single" w:sz="4" w:space="0" w:color="auto"/>
              <w:right w:val="single" w:sz="4" w:space="0" w:color="auto"/>
            </w:tcBorders>
            <w:shd w:val="clear" w:color="auto" w:fill="1F3864" w:themeFill="accent5" w:themeFillShade="80"/>
            <w:hideMark/>
          </w:tcPr>
          <w:p w:rsidR="00412545" w:rsidRPr="00C06FA0" w:rsidRDefault="00412545" w:rsidP="00412545">
            <w:pPr>
              <w:spacing w:line="200" w:lineRule="atLeast"/>
              <w:rPr>
                <w:b/>
                <w:color w:val="FFFFFF" w:themeColor="background1"/>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hideMark/>
          </w:tcPr>
          <w:p w:rsidR="00412545" w:rsidRPr="000C6E10" w:rsidRDefault="00412545" w:rsidP="00412545">
            <w:pPr>
              <w:rPr>
                <w:sz w:val="20"/>
                <w:szCs w:val="20"/>
              </w:rPr>
            </w:pPr>
            <w:r w:rsidRPr="000C6E10">
              <w:rPr>
                <w:sz w:val="20"/>
                <w:szCs w:val="20"/>
              </w:rPr>
              <w:t>Digitálne zručnosti prispôsobené doménam RIS3 a potrebám priemyselnej a zelenej transformácie</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CC312E" w:rsidP="00412545">
            <w:pPr>
              <w:jc w:val="center"/>
              <w:rPr>
                <w:rFonts w:cstheme="minorHAnsi"/>
                <w:sz w:val="20"/>
                <w:szCs w:val="20"/>
              </w:rPr>
            </w:pPr>
            <w:r>
              <w:rPr>
                <w:rFonts w:cstheme="minorHAnsi"/>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r>
      <w:tr w:rsidR="00412545" w:rsidTr="00412545">
        <w:trPr>
          <w:cantSplit/>
          <w:trHeight w:val="1554"/>
        </w:trPr>
        <w:tc>
          <w:tcPr>
            <w:tcW w:w="1134" w:type="dxa"/>
            <w:tcBorders>
              <w:top w:val="single" w:sz="4" w:space="0" w:color="auto"/>
              <w:left w:val="single" w:sz="4" w:space="0" w:color="auto"/>
              <w:bottom w:val="single" w:sz="4" w:space="0" w:color="auto"/>
              <w:right w:val="single" w:sz="4" w:space="0" w:color="auto"/>
            </w:tcBorders>
            <w:shd w:val="clear" w:color="auto" w:fill="1F3864" w:themeFill="accent5" w:themeFillShade="80"/>
            <w:textDirection w:val="btLr"/>
            <w:hideMark/>
          </w:tcPr>
          <w:p w:rsidR="00412545" w:rsidRPr="00C06FA0" w:rsidRDefault="00412545" w:rsidP="00412545">
            <w:pPr>
              <w:spacing w:line="200" w:lineRule="atLeast"/>
              <w:ind w:left="113" w:right="113"/>
              <w:rPr>
                <w:b/>
                <w:color w:val="FFFFFF" w:themeColor="background1"/>
                <w:sz w:val="20"/>
                <w:szCs w:val="20"/>
              </w:rPr>
            </w:pPr>
            <w:r w:rsidRPr="00C06FA0">
              <w:rPr>
                <w:rFonts w:cstheme="minorHAnsi"/>
                <w:b/>
                <w:color w:val="FFFFFF" w:themeColor="background1"/>
                <w:sz w:val="20"/>
                <w:szCs w:val="20"/>
              </w:rPr>
              <w:lastRenderedPageBreak/>
              <w:t>RSO1.5 Zvyšovanie digitálnej pripojiteľnosti</w:t>
            </w:r>
          </w:p>
        </w:tc>
        <w:tc>
          <w:tcPr>
            <w:tcW w:w="2263" w:type="dxa"/>
            <w:tcBorders>
              <w:top w:val="single" w:sz="4" w:space="0" w:color="auto"/>
              <w:left w:val="single" w:sz="4" w:space="0" w:color="auto"/>
              <w:bottom w:val="single" w:sz="4" w:space="0" w:color="auto"/>
              <w:right w:val="single" w:sz="4" w:space="0" w:color="auto"/>
            </w:tcBorders>
            <w:vAlign w:val="center"/>
            <w:hideMark/>
          </w:tcPr>
          <w:p w:rsidR="00412545" w:rsidRPr="000C6E10" w:rsidRDefault="00412545" w:rsidP="00412545">
            <w:pPr>
              <w:rPr>
                <w:sz w:val="20"/>
                <w:szCs w:val="20"/>
              </w:rPr>
            </w:pPr>
            <w:r w:rsidRPr="00EE1F1D">
              <w:rPr>
                <w:sz w:val="20"/>
                <w:szCs w:val="20"/>
              </w:rPr>
              <w:t>Podpora digitálnej pripojiteľnosti</w:t>
            </w: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6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tcPr>
          <w:p w:rsidR="00412545" w:rsidRPr="00EE1F1D" w:rsidRDefault="001A63BB" w:rsidP="00412545">
            <w:pPr>
              <w:jc w:val="center"/>
              <w:rPr>
                <w:rFonts w:cstheme="minorHAnsi"/>
                <w:sz w:val="20"/>
                <w:szCs w:val="20"/>
              </w:rPr>
            </w:pPr>
            <w:r>
              <w:rPr>
                <w:rFonts w:cstheme="minorHAnsi"/>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55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18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412545" w:rsidRPr="00EE1F1D" w:rsidRDefault="00412545" w:rsidP="00412545">
            <w:pPr>
              <w:jc w:val="center"/>
              <w:rPr>
                <w:rFonts w:cstheme="minorHAnsi"/>
                <w:sz w:val="20"/>
                <w:szCs w:val="20"/>
              </w:rPr>
            </w:pPr>
          </w:p>
        </w:tc>
      </w:tr>
    </w:tbl>
    <w:p w:rsidR="00412545" w:rsidRDefault="00412545"/>
    <w:p w:rsidR="00CC312E" w:rsidRDefault="00CC312E" w:rsidP="00B14012">
      <w:pPr>
        <w:ind w:left="-284"/>
        <w:rPr>
          <w:b/>
        </w:rPr>
      </w:pPr>
      <w:r>
        <w:rPr>
          <w:b/>
        </w:rPr>
        <w:br w:type="page"/>
      </w:r>
    </w:p>
    <w:p w:rsidR="00B14012" w:rsidRPr="00FE3FF9" w:rsidRDefault="00A13CC3" w:rsidP="00B14012">
      <w:pPr>
        <w:ind w:left="-284"/>
        <w:rPr>
          <w:b/>
        </w:rPr>
      </w:pPr>
      <w:r>
        <w:rPr>
          <w:b/>
        </w:rPr>
        <w:lastRenderedPageBreak/>
        <w:t>Detailnejšia i</w:t>
      </w:r>
      <w:r w:rsidR="00B14012" w:rsidRPr="00FE3FF9">
        <w:rPr>
          <w:b/>
        </w:rPr>
        <w:t>dentifikácia synergií medzi cieľm</w:t>
      </w:r>
      <w:r w:rsidR="00B14012">
        <w:rPr>
          <w:b/>
        </w:rPr>
        <w:t>i</w:t>
      </w:r>
      <w:r w:rsidR="00B14012" w:rsidRPr="00FE3FF9">
        <w:rPr>
          <w:b/>
        </w:rPr>
        <w:t xml:space="preserve"> politiky Programu Slovensko a programom E</w:t>
      </w:r>
      <w:r w:rsidR="00B14012">
        <w:rPr>
          <w:b/>
        </w:rPr>
        <w:t>RASMUS+ 2021-2027</w:t>
      </w:r>
    </w:p>
    <w:tbl>
      <w:tblPr>
        <w:tblW w:w="15785" w:type="dxa"/>
        <w:tblInd w:w="-294" w:type="dxa"/>
        <w:tblCellMar>
          <w:left w:w="70" w:type="dxa"/>
          <w:right w:w="70" w:type="dxa"/>
        </w:tblCellMar>
        <w:tblLook w:val="04A0" w:firstRow="1" w:lastRow="0" w:firstColumn="1" w:lastColumn="0" w:noHBand="0" w:noVBand="1"/>
      </w:tblPr>
      <w:tblGrid>
        <w:gridCol w:w="2964"/>
        <w:gridCol w:w="596"/>
        <w:gridCol w:w="842"/>
        <w:gridCol w:w="596"/>
        <w:gridCol w:w="596"/>
        <w:gridCol w:w="701"/>
        <w:gridCol w:w="12"/>
        <w:gridCol w:w="944"/>
        <w:gridCol w:w="1031"/>
        <w:gridCol w:w="1109"/>
        <w:gridCol w:w="1273"/>
        <w:gridCol w:w="612"/>
        <w:gridCol w:w="1412"/>
        <w:gridCol w:w="933"/>
        <w:gridCol w:w="1228"/>
        <w:gridCol w:w="425"/>
        <w:gridCol w:w="160"/>
        <w:gridCol w:w="188"/>
        <w:gridCol w:w="163"/>
      </w:tblGrid>
      <w:tr w:rsidR="00B14012" w:rsidRPr="00041A92" w:rsidTr="00412545">
        <w:trPr>
          <w:trHeight w:val="1215"/>
        </w:trPr>
        <w:tc>
          <w:tcPr>
            <w:tcW w:w="2964" w:type="dxa"/>
            <w:tcBorders>
              <w:top w:val="single" w:sz="8" w:space="0" w:color="auto"/>
              <w:left w:val="single" w:sz="8" w:space="0" w:color="auto"/>
              <w:bottom w:val="single" w:sz="4" w:space="0" w:color="auto"/>
              <w:right w:val="nil"/>
            </w:tcBorders>
            <w:shd w:val="clear" w:color="000000" w:fill="4472C4"/>
            <w:vAlign w:val="center"/>
            <w:hideMark/>
          </w:tcPr>
          <w:p w:rsidR="00B14012" w:rsidRPr="007201CD" w:rsidRDefault="00B14012" w:rsidP="00412545">
            <w:pPr>
              <w:spacing w:after="0" w:line="240" w:lineRule="auto"/>
              <w:jc w:val="center"/>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PRIORITY PROGRAMU ERASMUS+</w:t>
            </w:r>
          </w:p>
        </w:tc>
        <w:tc>
          <w:tcPr>
            <w:tcW w:w="3343" w:type="dxa"/>
            <w:gridSpan w:val="6"/>
            <w:tcBorders>
              <w:top w:val="single" w:sz="8" w:space="0" w:color="auto"/>
              <w:left w:val="single" w:sz="8" w:space="0" w:color="auto"/>
              <w:bottom w:val="single" w:sz="4" w:space="0" w:color="auto"/>
              <w:right w:val="single" w:sz="8" w:space="0" w:color="000000"/>
            </w:tcBorders>
            <w:shd w:val="clear" w:color="000000" w:fill="4472C4"/>
            <w:vAlign w:val="center"/>
            <w:hideMark/>
          </w:tcPr>
          <w:p w:rsidR="00B14012" w:rsidRPr="007201CD" w:rsidRDefault="00B14012" w:rsidP="00412545">
            <w:pPr>
              <w:spacing w:after="0" w:line="240" w:lineRule="auto"/>
              <w:jc w:val="center"/>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INKLÚZIA A ROZMANITOSŤ</w:t>
            </w:r>
          </w:p>
        </w:tc>
        <w:tc>
          <w:tcPr>
            <w:tcW w:w="1975" w:type="dxa"/>
            <w:gridSpan w:val="2"/>
            <w:tcBorders>
              <w:top w:val="single" w:sz="8" w:space="0" w:color="auto"/>
              <w:left w:val="nil"/>
              <w:bottom w:val="single" w:sz="4" w:space="0" w:color="auto"/>
              <w:right w:val="single" w:sz="8" w:space="0" w:color="000000"/>
            </w:tcBorders>
            <w:shd w:val="clear" w:color="000000" w:fill="4472C4"/>
            <w:vAlign w:val="center"/>
            <w:hideMark/>
          </w:tcPr>
          <w:p w:rsidR="00B14012" w:rsidRPr="007201CD" w:rsidRDefault="00B14012" w:rsidP="00412545">
            <w:pPr>
              <w:spacing w:after="0" w:line="240" w:lineRule="auto"/>
              <w:jc w:val="center"/>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DIGITÁLNA TRANSFORMÁCIA</w:t>
            </w:r>
          </w:p>
        </w:tc>
        <w:tc>
          <w:tcPr>
            <w:tcW w:w="4406" w:type="dxa"/>
            <w:gridSpan w:val="4"/>
            <w:tcBorders>
              <w:top w:val="single" w:sz="8" w:space="0" w:color="auto"/>
              <w:left w:val="nil"/>
              <w:bottom w:val="single" w:sz="4" w:space="0" w:color="auto"/>
              <w:right w:val="single" w:sz="8" w:space="0" w:color="000000"/>
            </w:tcBorders>
            <w:shd w:val="clear" w:color="000000" w:fill="4472C4"/>
            <w:vAlign w:val="center"/>
            <w:hideMark/>
          </w:tcPr>
          <w:p w:rsidR="00B14012" w:rsidRPr="007201CD" w:rsidRDefault="00B14012" w:rsidP="00412545">
            <w:pPr>
              <w:spacing w:after="0" w:line="240" w:lineRule="auto"/>
              <w:jc w:val="center"/>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ŽIVOTNÉ PROSTREDIE A BOJ PROTI ZMENE KLÍMY</w:t>
            </w:r>
          </w:p>
        </w:tc>
        <w:tc>
          <w:tcPr>
            <w:tcW w:w="2161" w:type="dxa"/>
            <w:gridSpan w:val="2"/>
            <w:tcBorders>
              <w:top w:val="single" w:sz="8" w:space="0" w:color="auto"/>
              <w:left w:val="nil"/>
              <w:bottom w:val="single" w:sz="4" w:space="0" w:color="auto"/>
              <w:right w:val="single" w:sz="8" w:space="0" w:color="000000"/>
            </w:tcBorders>
            <w:shd w:val="clear" w:color="000000" w:fill="4472C4"/>
            <w:vAlign w:val="center"/>
            <w:hideMark/>
          </w:tcPr>
          <w:p w:rsidR="00B14012" w:rsidRPr="007201CD" w:rsidRDefault="00B14012" w:rsidP="00412545">
            <w:pPr>
              <w:spacing w:after="0" w:line="240" w:lineRule="auto"/>
              <w:jc w:val="center"/>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ÚČASŤ NA DEMOKRATICKOM ŽIVOTE, SPOLOČNÉ HODNOTY A OBČIANSKA ANGAŽOVANOSŤ</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jc w:val="center"/>
              <w:rPr>
                <w:rFonts w:ascii="Calibri" w:eastAsia="Times New Roman" w:hAnsi="Calibri" w:cs="Calibri"/>
                <w:b/>
                <w:bCs/>
                <w:color w:val="FFFFFF"/>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CC312E">
        <w:trPr>
          <w:trHeight w:val="2866"/>
        </w:trPr>
        <w:tc>
          <w:tcPr>
            <w:tcW w:w="2964" w:type="dxa"/>
            <w:tcBorders>
              <w:top w:val="nil"/>
              <w:left w:val="single" w:sz="8" w:space="0" w:color="auto"/>
              <w:bottom w:val="single" w:sz="8" w:space="0" w:color="auto"/>
              <w:right w:val="nil"/>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
                <w:bCs/>
                <w:color w:val="000000"/>
                <w:lang w:eastAsia="sk-SK"/>
              </w:rPr>
            </w:pPr>
            <w:r w:rsidRPr="007201CD">
              <w:rPr>
                <w:rFonts w:ascii="Calibri" w:eastAsia="Times New Roman" w:hAnsi="Calibri" w:cs="Calibri"/>
                <w:b/>
                <w:bCs/>
                <w:color w:val="000000"/>
                <w:lang w:eastAsia="sk-SK"/>
              </w:rPr>
              <w:t>Podporované oblasti</w:t>
            </w:r>
          </w:p>
        </w:tc>
        <w:tc>
          <w:tcPr>
            <w:tcW w:w="596" w:type="dxa"/>
            <w:tcBorders>
              <w:top w:val="nil"/>
              <w:left w:val="single" w:sz="8" w:space="0" w:color="auto"/>
              <w:bottom w:val="single" w:sz="8" w:space="0" w:color="auto"/>
              <w:right w:val="single" w:sz="4"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Prekážky v oblasti zdravia</w:t>
            </w:r>
          </w:p>
        </w:tc>
        <w:tc>
          <w:tcPr>
            <w:tcW w:w="842" w:type="dxa"/>
            <w:tcBorders>
              <w:top w:val="nil"/>
              <w:left w:val="nil"/>
              <w:bottom w:val="single" w:sz="8" w:space="0" w:color="auto"/>
              <w:right w:val="single" w:sz="4"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Prekážky súvisiace so systémami vzdelávania a odbornej prípravy</w:t>
            </w:r>
          </w:p>
        </w:tc>
        <w:tc>
          <w:tcPr>
            <w:tcW w:w="596" w:type="dxa"/>
            <w:tcBorders>
              <w:top w:val="nil"/>
              <w:left w:val="nil"/>
              <w:bottom w:val="single" w:sz="8" w:space="0" w:color="auto"/>
              <w:right w:val="single" w:sz="4"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Kultúrne rozdiely a geografické rozdiely</w:t>
            </w:r>
          </w:p>
        </w:tc>
        <w:tc>
          <w:tcPr>
            <w:tcW w:w="596" w:type="dxa"/>
            <w:tcBorders>
              <w:top w:val="nil"/>
              <w:left w:val="nil"/>
              <w:bottom w:val="single" w:sz="8" w:space="0" w:color="auto"/>
              <w:right w:val="single" w:sz="4"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Sociálne  a hospodárske prekážky</w:t>
            </w:r>
          </w:p>
        </w:tc>
        <w:tc>
          <w:tcPr>
            <w:tcW w:w="701" w:type="dxa"/>
            <w:tcBorders>
              <w:top w:val="nil"/>
              <w:left w:val="nil"/>
              <w:bottom w:val="single" w:sz="8" w:space="0" w:color="auto"/>
              <w:right w:val="single" w:sz="8"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Prekážky súvisiace s diskrimináciou</w:t>
            </w:r>
          </w:p>
        </w:tc>
        <w:tc>
          <w:tcPr>
            <w:tcW w:w="956" w:type="dxa"/>
            <w:gridSpan w:val="2"/>
            <w:tcBorders>
              <w:top w:val="nil"/>
              <w:left w:val="nil"/>
              <w:bottom w:val="single" w:sz="8" w:space="0" w:color="auto"/>
              <w:right w:val="single" w:sz="4"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Podpora rozvoja vysokovýkonného ekosystému digitálneho vzdelávania</w:t>
            </w:r>
          </w:p>
        </w:tc>
        <w:tc>
          <w:tcPr>
            <w:tcW w:w="1031" w:type="dxa"/>
            <w:tcBorders>
              <w:top w:val="nil"/>
              <w:left w:val="nil"/>
              <w:bottom w:val="single" w:sz="8" w:space="0" w:color="auto"/>
              <w:right w:val="single" w:sz="8"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Posilnenie digitálnych zručností a kompetencií relevantných pre digitálnu transformáciu</w:t>
            </w:r>
          </w:p>
        </w:tc>
        <w:tc>
          <w:tcPr>
            <w:tcW w:w="1109" w:type="dxa"/>
            <w:tcBorders>
              <w:top w:val="nil"/>
              <w:left w:val="nil"/>
              <w:bottom w:val="single" w:sz="8" w:space="0" w:color="auto"/>
              <w:right w:val="single" w:sz="4"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B</w:t>
            </w:r>
            <w:r w:rsidRPr="00A91631">
              <w:rPr>
                <w:rFonts w:ascii="Calibri" w:eastAsia="Times New Roman" w:hAnsi="Calibri" w:cs="Calibri"/>
                <w:b/>
                <w:bCs/>
                <w:color w:val="000000"/>
                <w:sz w:val="20"/>
                <w:szCs w:val="20"/>
                <w:lang w:eastAsia="sk-SK"/>
              </w:rPr>
              <w:t>udovanie vedomostí, zručností a postojov v oblasti zmeny klímy a podpory udržateľného rozvoja</w:t>
            </w:r>
          </w:p>
        </w:tc>
        <w:tc>
          <w:tcPr>
            <w:tcW w:w="1273" w:type="dxa"/>
            <w:tcBorders>
              <w:top w:val="nil"/>
              <w:left w:val="nil"/>
              <w:bottom w:val="single" w:sz="8" w:space="0" w:color="auto"/>
              <w:right w:val="single" w:sz="4"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Udržateľný rast,  rozvoj vidieka (udržateľné poľnohospodárstvo, riadenie prírodných zdrojov, ochrana pôdy, ekologické poľnohospodárstvo)</w:t>
            </w:r>
          </w:p>
        </w:tc>
        <w:tc>
          <w:tcPr>
            <w:tcW w:w="612" w:type="dxa"/>
            <w:tcBorders>
              <w:top w:val="nil"/>
              <w:left w:val="nil"/>
              <w:bottom w:val="single" w:sz="8" w:space="0" w:color="auto"/>
              <w:right w:val="single" w:sz="4"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P</w:t>
            </w:r>
            <w:r w:rsidRPr="00A91631">
              <w:rPr>
                <w:rFonts w:ascii="Calibri" w:eastAsia="Times New Roman" w:hAnsi="Calibri" w:cs="Calibri"/>
                <w:b/>
                <w:bCs/>
                <w:color w:val="000000"/>
                <w:sz w:val="20"/>
                <w:szCs w:val="20"/>
                <w:lang w:eastAsia="sk-SK"/>
              </w:rPr>
              <w:t>odpora udržateľných druhov dopravy</w:t>
            </w:r>
          </w:p>
        </w:tc>
        <w:tc>
          <w:tcPr>
            <w:tcW w:w="1412" w:type="dxa"/>
            <w:tcBorders>
              <w:top w:val="nil"/>
              <w:left w:val="nil"/>
              <w:bottom w:val="single" w:sz="8" w:space="0" w:color="auto"/>
              <w:right w:val="single" w:sz="8"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Podporuje využívanie inovačných postupov s cieľom šetriť zdroje, znižovať spotrebu energie, produkciu odpadu a uhlíkovú stopu, a pod.</w:t>
            </w:r>
          </w:p>
        </w:tc>
        <w:tc>
          <w:tcPr>
            <w:tcW w:w="933" w:type="dxa"/>
            <w:tcBorders>
              <w:top w:val="nil"/>
              <w:left w:val="nil"/>
              <w:bottom w:val="single" w:sz="8" w:space="0" w:color="auto"/>
              <w:right w:val="single" w:sz="4"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podporuje aktívne občianstvo a etika v celoživotnom vzdelávaní</w:t>
            </w:r>
          </w:p>
        </w:tc>
        <w:tc>
          <w:tcPr>
            <w:tcW w:w="1228" w:type="dxa"/>
            <w:tcBorders>
              <w:top w:val="nil"/>
              <w:left w:val="nil"/>
              <w:bottom w:val="single" w:sz="8" w:space="0" w:color="auto"/>
              <w:right w:val="single" w:sz="8" w:space="0" w:color="auto"/>
            </w:tcBorders>
            <w:shd w:val="clear" w:color="auto" w:fill="auto"/>
            <w:textDirection w:val="btLr"/>
            <w:vAlign w:val="center"/>
            <w:hideMark/>
          </w:tcPr>
          <w:p w:rsidR="00B14012" w:rsidRPr="00A91631" w:rsidRDefault="00B14012" w:rsidP="00412545">
            <w:pPr>
              <w:spacing w:after="0" w:line="240" w:lineRule="auto"/>
              <w:jc w:val="center"/>
              <w:rPr>
                <w:rFonts w:ascii="Calibri" w:eastAsia="Times New Roman" w:hAnsi="Calibri" w:cs="Calibri"/>
                <w:b/>
                <w:bCs/>
                <w:color w:val="000000"/>
                <w:sz w:val="20"/>
                <w:szCs w:val="20"/>
                <w:lang w:eastAsia="sk-SK"/>
              </w:rPr>
            </w:pPr>
            <w:r w:rsidRPr="00A91631">
              <w:rPr>
                <w:rFonts w:ascii="Calibri" w:eastAsia="Times New Roman" w:hAnsi="Calibri" w:cs="Calibri"/>
                <w:b/>
                <w:bCs/>
                <w:color w:val="000000"/>
                <w:sz w:val="20"/>
                <w:szCs w:val="20"/>
                <w:lang w:eastAsia="sk-SK"/>
              </w:rPr>
              <w:t>rozvoj sociálnych a medzikultúrnych kompetencií, kritického myslenia a mediálnej gramotnosti</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6"/>
                <w:szCs w:val="26"/>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705"/>
        </w:trPr>
        <w:tc>
          <w:tcPr>
            <w:tcW w:w="2964" w:type="dxa"/>
            <w:tcBorders>
              <w:top w:val="nil"/>
              <w:left w:val="single" w:sz="8" w:space="0" w:color="auto"/>
              <w:bottom w:val="single" w:sz="4" w:space="0" w:color="auto"/>
              <w:right w:val="single" w:sz="4" w:space="0" w:color="auto"/>
            </w:tcBorders>
            <w:shd w:val="clear" w:color="auto" w:fill="4472C4" w:themeFill="accent5"/>
            <w:vAlign w:val="center"/>
            <w:hideMark/>
          </w:tcPr>
          <w:p w:rsidR="00B14012" w:rsidRPr="007201CD" w:rsidRDefault="00B14012" w:rsidP="00412545">
            <w:pPr>
              <w:spacing w:after="0" w:line="240" w:lineRule="auto"/>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 xml:space="preserve">CP 1 Konkurencieschopnejšia a inteligentnejšia Európa </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946"/>
        </w:trPr>
        <w:tc>
          <w:tcPr>
            <w:tcW w:w="2964" w:type="dxa"/>
            <w:tcBorders>
              <w:top w:val="nil"/>
              <w:left w:val="single" w:sz="8" w:space="0" w:color="auto"/>
              <w:bottom w:val="single" w:sz="4" w:space="0" w:color="auto"/>
              <w:right w:val="single" w:sz="4" w:space="0" w:color="auto"/>
            </w:tcBorders>
            <w:shd w:val="clear" w:color="000000" w:fill="FFFFFF"/>
            <w:vAlign w:val="center"/>
            <w:hideMark/>
          </w:tcPr>
          <w:p w:rsidR="00B14012" w:rsidRPr="00A91631" w:rsidRDefault="00B14012" w:rsidP="00412545">
            <w:pPr>
              <w:spacing w:after="0" w:line="240" w:lineRule="auto"/>
              <w:rPr>
                <w:rFonts w:ascii="Calibri" w:eastAsia="Times New Roman" w:hAnsi="Calibri" w:cs="Calibri"/>
                <w:bCs/>
                <w:sz w:val="20"/>
                <w:szCs w:val="20"/>
                <w:lang w:eastAsia="sk-SK"/>
              </w:rPr>
            </w:pPr>
            <w:r w:rsidRPr="00A91631">
              <w:rPr>
                <w:rFonts w:ascii="Calibri" w:eastAsia="Times New Roman" w:hAnsi="Calibri" w:cs="Calibri"/>
                <w:bCs/>
                <w:sz w:val="20"/>
                <w:szCs w:val="20"/>
                <w:lang w:eastAsia="sk-SK"/>
              </w:rPr>
              <w:t>RSO1.1 Rozvoj a rozšírenie výskumných a inovačných kapacít a využívanie pokročilých technológií</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color w:val="000000"/>
                <w:sz w:val="24"/>
                <w:szCs w:val="24"/>
                <w:lang w:eastAsia="sk-SK"/>
              </w:rPr>
            </w:pPr>
            <w:r w:rsidRPr="00041A92">
              <w:rPr>
                <w:rFonts w:ascii="Calibri" w:eastAsia="Times New Roman" w:hAnsi="Calibri" w:cs="Calibri"/>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7201CD">
        <w:trPr>
          <w:trHeight w:val="1065"/>
        </w:trPr>
        <w:tc>
          <w:tcPr>
            <w:tcW w:w="2964" w:type="dxa"/>
            <w:tcBorders>
              <w:top w:val="nil"/>
              <w:left w:val="single" w:sz="8" w:space="0" w:color="auto"/>
              <w:bottom w:val="single" w:sz="4" w:space="0" w:color="auto"/>
              <w:right w:val="single" w:sz="4" w:space="0" w:color="auto"/>
            </w:tcBorders>
            <w:shd w:val="clear" w:color="000000" w:fill="FFFFFF"/>
            <w:vAlign w:val="center"/>
            <w:hideMark/>
          </w:tcPr>
          <w:p w:rsidR="00B14012" w:rsidRPr="00A91631" w:rsidRDefault="00B14012" w:rsidP="00412545">
            <w:pPr>
              <w:spacing w:after="0" w:line="240" w:lineRule="auto"/>
              <w:rPr>
                <w:rFonts w:ascii="Calibri" w:eastAsia="Times New Roman" w:hAnsi="Calibri" w:cs="Calibri"/>
                <w:bCs/>
                <w:sz w:val="20"/>
                <w:szCs w:val="20"/>
                <w:lang w:eastAsia="sk-SK"/>
              </w:rPr>
            </w:pPr>
            <w:r w:rsidRPr="00A91631">
              <w:rPr>
                <w:rFonts w:ascii="Calibri" w:eastAsia="Times New Roman" w:hAnsi="Calibri" w:cs="Calibri"/>
                <w:bCs/>
                <w:sz w:val="20"/>
                <w:szCs w:val="20"/>
                <w:lang w:eastAsia="sk-SK"/>
              </w:rPr>
              <w:t>RSO1.2. Využívanie prínosov digitalizácie pre občanov, podniky, výskumné organizácie a orgány verejnej správy</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7201CD">
        <w:trPr>
          <w:trHeight w:val="418"/>
        </w:trPr>
        <w:tc>
          <w:tcPr>
            <w:tcW w:w="296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4012" w:rsidRPr="00A91631" w:rsidRDefault="00B14012" w:rsidP="00412545">
            <w:pPr>
              <w:spacing w:after="0" w:line="240" w:lineRule="auto"/>
              <w:rPr>
                <w:rFonts w:ascii="Calibri" w:eastAsia="Times New Roman" w:hAnsi="Calibri" w:cs="Calibri"/>
                <w:bCs/>
                <w:sz w:val="20"/>
                <w:szCs w:val="20"/>
                <w:lang w:eastAsia="sk-SK"/>
              </w:rPr>
            </w:pPr>
            <w:r w:rsidRPr="00A91631">
              <w:rPr>
                <w:rFonts w:ascii="Calibri" w:eastAsia="Times New Roman" w:hAnsi="Calibri" w:cs="Calibri"/>
                <w:bCs/>
                <w:sz w:val="20"/>
                <w:szCs w:val="20"/>
                <w:lang w:eastAsia="sk-SK"/>
              </w:rPr>
              <w:t>RSO1.3. Posilnenie udržateľného rastu a konkurencieschopnosti MSP a tvorby pracovných miest v MSP, a to aj produktívnymi investíciami</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28" w:type="dxa"/>
            <w:tcBorders>
              <w:top w:val="single" w:sz="4" w:space="0" w:color="auto"/>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7201CD">
        <w:trPr>
          <w:trHeight w:val="907"/>
        </w:trPr>
        <w:tc>
          <w:tcPr>
            <w:tcW w:w="296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14012" w:rsidRPr="00A91631" w:rsidRDefault="00B14012" w:rsidP="00412545">
            <w:pPr>
              <w:spacing w:after="0" w:line="240" w:lineRule="auto"/>
              <w:rPr>
                <w:rFonts w:ascii="Calibri" w:eastAsia="Times New Roman" w:hAnsi="Calibri" w:cs="Calibri"/>
                <w:bCs/>
                <w:sz w:val="20"/>
                <w:szCs w:val="20"/>
                <w:lang w:eastAsia="sk-SK"/>
              </w:rPr>
            </w:pPr>
            <w:r w:rsidRPr="00A91631">
              <w:rPr>
                <w:rFonts w:ascii="Calibri" w:eastAsia="Times New Roman" w:hAnsi="Calibri" w:cs="Calibri"/>
                <w:bCs/>
                <w:sz w:val="20"/>
                <w:szCs w:val="20"/>
                <w:lang w:eastAsia="sk-SK"/>
              </w:rPr>
              <w:lastRenderedPageBreak/>
              <w:t>RSO1.4 Rozvoj zručností pre inteligentnú špecializáciu, priemyselnú transformáciu a podnikanie</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28" w:type="dxa"/>
            <w:tcBorders>
              <w:top w:val="single" w:sz="4" w:space="0" w:color="auto"/>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495"/>
        </w:trPr>
        <w:tc>
          <w:tcPr>
            <w:tcW w:w="2964" w:type="dxa"/>
            <w:tcBorders>
              <w:top w:val="nil"/>
              <w:left w:val="single" w:sz="8" w:space="0" w:color="auto"/>
              <w:bottom w:val="single" w:sz="4" w:space="0" w:color="auto"/>
              <w:right w:val="single" w:sz="4" w:space="0" w:color="auto"/>
            </w:tcBorders>
            <w:shd w:val="clear" w:color="000000" w:fill="FFFFFF"/>
            <w:vAlign w:val="center"/>
            <w:hideMark/>
          </w:tcPr>
          <w:p w:rsidR="00B14012" w:rsidRPr="00A91631" w:rsidRDefault="00B14012" w:rsidP="00412545">
            <w:pPr>
              <w:spacing w:after="0" w:line="240" w:lineRule="auto"/>
              <w:rPr>
                <w:rFonts w:ascii="Calibri" w:eastAsia="Times New Roman" w:hAnsi="Calibri" w:cs="Calibri"/>
                <w:bCs/>
                <w:sz w:val="20"/>
                <w:szCs w:val="20"/>
                <w:lang w:eastAsia="sk-SK"/>
              </w:rPr>
            </w:pPr>
            <w:r w:rsidRPr="00A91631">
              <w:rPr>
                <w:rFonts w:ascii="Calibri" w:eastAsia="Times New Roman" w:hAnsi="Calibri" w:cs="Calibri"/>
                <w:bCs/>
                <w:sz w:val="20"/>
                <w:szCs w:val="20"/>
                <w:lang w:eastAsia="sk-SK"/>
              </w:rPr>
              <w:t>RSO1.5 Zvyšovanie digitálnej pripojiteľnosti</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765"/>
        </w:trPr>
        <w:tc>
          <w:tcPr>
            <w:tcW w:w="2964" w:type="dxa"/>
            <w:tcBorders>
              <w:top w:val="nil"/>
              <w:left w:val="single" w:sz="8" w:space="0" w:color="auto"/>
              <w:bottom w:val="single" w:sz="4" w:space="0" w:color="auto"/>
              <w:right w:val="single" w:sz="4" w:space="0" w:color="auto"/>
            </w:tcBorders>
            <w:shd w:val="clear" w:color="auto" w:fill="4472C4" w:themeFill="accent5"/>
            <w:vAlign w:val="center"/>
            <w:hideMark/>
          </w:tcPr>
          <w:p w:rsidR="00B14012" w:rsidRPr="007201CD" w:rsidRDefault="00B14012" w:rsidP="00412545">
            <w:pPr>
              <w:spacing w:after="0" w:line="240" w:lineRule="auto"/>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CP 2 Energetická efektívnosť a dekarbonizácia</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630"/>
        </w:trPr>
        <w:tc>
          <w:tcPr>
            <w:tcW w:w="2964" w:type="dxa"/>
            <w:tcBorders>
              <w:top w:val="nil"/>
              <w:left w:val="single" w:sz="8" w:space="0" w:color="auto"/>
              <w:bottom w:val="single" w:sz="4" w:space="0" w:color="auto"/>
              <w:right w:val="single" w:sz="4" w:space="0" w:color="auto"/>
            </w:tcBorders>
            <w:shd w:val="clear" w:color="000000" w:fill="FFFFFF"/>
            <w:vAlign w:val="center"/>
            <w:hideMark/>
          </w:tcPr>
          <w:p w:rsidR="00B14012" w:rsidRPr="00A91631" w:rsidRDefault="00B14012" w:rsidP="00412545">
            <w:pPr>
              <w:spacing w:after="0" w:line="240" w:lineRule="auto"/>
              <w:rPr>
                <w:rFonts w:ascii="Calibri" w:eastAsia="Times New Roman" w:hAnsi="Calibri" w:cs="Calibri"/>
                <w:bCs/>
                <w:sz w:val="20"/>
                <w:szCs w:val="20"/>
                <w:lang w:eastAsia="sk-SK"/>
              </w:rPr>
            </w:pPr>
            <w:r w:rsidRPr="00A91631">
              <w:rPr>
                <w:rFonts w:ascii="Calibri" w:eastAsia="Times New Roman" w:hAnsi="Calibri" w:cs="Calibri"/>
                <w:bCs/>
                <w:sz w:val="20"/>
                <w:szCs w:val="20"/>
                <w:lang w:eastAsia="sk-SK"/>
              </w:rPr>
              <w:t>RSO2.1 Podpora energetickej efektívnosti a znižovania emisií skleníkových plynov</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1239"/>
        </w:trPr>
        <w:tc>
          <w:tcPr>
            <w:tcW w:w="2964" w:type="dxa"/>
            <w:tcBorders>
              <w:top w:val="nil"/>
              <w:left w:val="single" w:sz="8" w:space="0" w:color="auto"/>
              <w:bottom w:val="single" w:sz="4" w:space="0" w:color="auto"/>
              <w:right w:val="single" w:sz="4" w:space="0" w:color="auto"/>
            </w:tcBorders>
            <w:shd w:val="clear" w:color="auto" w:fill="auto"/>
            <w:vAlign w:val="center"/>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RSO2.2</w:t>
            </w:r>
            <w:r>
              <w:rPr>
                <w:rFonts w:ascii="Calibri" w:eastAsia="Times New Roman" w:hAnsi="Calibri" w:cs="Calibri"/>
                <w:bCs/>
                <w:color w:val="000000"/>
                <w:sz w:val="20"/>
                <w:szCs w:val="20"/>
                <w:lang w:eastAsia="sk-SK"/>
              </w:rPr>
              <w:t xml:space="preserve"> </w:t>
            </w:r>
            <w:r w:rsidRPr="00A91631">
              <w:rPr>
                <w:rFonts w:ascii="Calibri" w:eastAsia="Times New Roman" w:hAnsi="Calibri" w:cs="Calibri"/>
                <w:bCs/>
                <w:color w:val="000000"/>
                <w:sz w:val="20"/>
                <w:szCs w:val="20"/>
                <w:lang w:eastAsia="sk-SK"/>
              </w:rPr>
              <w:t>Podpora energie z obnoviteľných zdrojov v súlade so smernicou (EÚ) 2018/2001 vrátane kritérií udržateľnosti, ktoré sú v nej stanovené</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976"/>
        </w:trPr>
        <w:tc>
          <w:tcPr>
            <w:tcW w:w="2964" w:type="dxa"/>
            <w:tcBorders>
              <w:top w:val="nil"/>
              <w:left w:val="single" w:sz="8" w:space="0" w:color="auto"/>
              <w:bottom w:val="single" w:sz="4" w:space="0" w:color="auto"/>
              <w:right w:val="single" w:sz="4" w:space="0" w:color="auto"/>
            </w:tcBorders>
            <w:shd w:val="clear" w:color="auto" w:fill="auto"/>
            <w:vAlign w:val="center"/>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RSO2.3 Vývoj inteligentných energetických systémov, sietí a uskladnenia mimo transeurópskej energetickej siete (TEN-E</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1260"/>
        </w:trPr>
        <w:tc>
          <w:tcPr>
            <w:tcW w:w="2964" w:type="dxa"/>
            <w:tcBorders>
              <w:top w:val="nil"/>
              <w:left w:val="single" w:sz="8" w:space="0" w:color="auto"/>
              <w:bottom w:val="single" w:sz="4" w:space="0" w:color="auto"/>
              <w:right w:val="single" w:sz="4" w:space="0" w:color="auto"/>
            </w:tcBorders>
            <w:shd w:val="clear" w:color="auto" w:fill="auto"/>
            <w:vAlign w:val="center"/>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RSO2.4 Podpora adaptácie na zmenu klímy a prevencie rizika katastrof, ako aj odolnosti, a to s prihliadnutím na ekosystémové prístupy</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708"/>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RSO2.5Podpora prístupu k vode a udržateľného vodného hospodárstva</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720"/>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RSO2.6 Podpora prechodu na obehové hospodárstvo, ktoré efektívne využíva zdroje</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560"/>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 xml:space="preserve">RSO2.7 Posilnenie ochrany a zachovania prírody, biodiverzity a zelenej infraštruktúry, a to aj v </w:t>
            </w:r>
            <w:r w:rsidRPr="00A91631">
              <w:rPr>
                <w:rFonts w:ascii="Calibri" w:eastAsia="Times New Roman" w:hAnsi="Calibri" w:cs="Calibri"/>
                <w:bCs/>
                <w:color w:val="000000"/>
                <w:sz w:val="20"/>
                <w:szCs w:val="20"/>
                <w:lang w:eastAsia="sk-SK"/>
              </w:rPr>
              <w:lastRenderedPageBreak/>
              <w:t>mestských oblastiach, a zníženia všetkých foriem znečistenia</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lastRenderedPageBreak/>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1275"/>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theme="minorHAnsi"/>
                <w:bCs/>
                <w:color w:val="000000"/>
                <w:sz w:val="20"/>
                <w:szCs w:val="20"/>
                <w:lang w:eastAsia="sk-SK"/>
              </w:rPr>
              <w:t>RSO2.8 Podpora udržateľnej multimodálnej mestskej mobility ako súčasti prechodu na hospodárstvo s nulovou bilanciou uhlíka</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jc w:val="center"/>
              <w:rPr>
                <w:rFonts w:ascii="Calibri" w:eastAsia="Times New Roman" w:hAnsi="Calibri" w:cs="Calibri"/>
                <w:b/>
                <w:bCs/>
                <w:color w:val="000000"/>
                <w:sz w:val="24"/>
                <w:szCs w:val="24"/>
                <w:lang w:eastAsia="sk-SK"/>
              </w:rPr>
            </w:pP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499"/>
        </w:trPr>
        <w:tc>
          <w:tcPr>
            <w:tcW w:w="2964" w:type="dxa"/>
            <w:tcBorders>
              <w:top w:val="nil"/>
              <w:left w:val="single" w:sz="8" w:space="0" w:color="auto"/>
              <w:bottom w:val="single" w:sz="4" w:space="0" w:color="auto"/>
              <w:right w:val="single" w:sz="4" w:space="0" w:color="auto"/>
            </w:tcBorders>
            <w:shd w:val="clear" w:color="auto" w:fill="4472C4" w:themeFill="accent5"/>
            <w:vAlign w:val="center"/>
            <w:hideMark/>
          </w:tcPr>
          <w:p w:rsidR="00B14012" w:rsidRPr="007201CD" w:rsidRDefault="00B14012" w:rsidP="00412545">
            <w:pPr>
              <w:spacing w:after="0" w:line="240" w:lineRule="auto"/>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 xml:space="preserve">CP 3 Prepojenejšia Európa </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jc w:val="center"/>
              <w:rPr>
                <w:rFonts w:ascii="Calibri" w:eastAsia="Times New Roman" w:hAnsi="Calibri" w:cs="Calibri"/>
                <w:b/>
                <w:bCs/>
                <w:color w:val="000000"/>
                <w:sz w:val="24"/>
                <w:szCs w:val="24"/>
                <w:lang w:eastAsia="sk-SK"/>
              </w:rPr>
            </w:pP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896"/>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RSO3.1 Rozvoj inteligentnej, bezpečnej, udržateľnej a intermodálnej TEN-T odolnej proti zmene klímy</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jc w:val="center"/>
              <w:rPr>
                <w:rFonts w:ascii="Calibri" w:eastAsia="Times New Roman" w:hAnsi="Calibri" w:cs="Calibri"/>
                <w:b/>
                <w:bCs/>
                <w:color w:val="000000"/>
                <w:sz w:val="24"/>
                <w:szCs w:val="24"/>
                <w:lang w:eastAsia="sk-SK"/>
              </w:rPr>
            </w:pP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1038"/>
        </w:trPr>
        <w:tc>
          <w:tcPr>
            <w:tcW w:w="2964" w:type="dxa"/>
            <w:tcBorders>
              <w:top w:val="nil"/>
              <w:left w:val="single" w:sz="8" w:space="0" w:color="auto"/>
              <w:bottom w:val="single" w:sz="4" w:space="0" w:color="auto"/>
              <w:right w:val="single" w:sz="4" w:space="0" w:color="auto"/>
            </w:tcBorders>
            <w:shd w:val="clear" w:color="auto" w:fill="auto"/>
            <w:vAlign w:val="center"/>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RSO3.2</w:t>
            </w:r>
            <w:r w:rsidRPr="00A91631">
              <w:rPr>
                <w:rFonts w:ascii="Calibri" w:eastAsia="Times New Roman" w:hAnsi="Calibri" w:cs="Calibri"/>
                <w:bCs/>
                <w:color w:val="000000"/>
                <w:sz w:val="20"/>
                <w:szCs w:val="20"/>
                <w:lang w:eastAsia="sk-SK"/>
              </w:rPr>
              <w:br/>
              <w:t>Rozvoj a posilňovanie udržateľnej, inteligentnej a intermodálnej vnútroštátnej, regionálnej a miestnej mobility</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jc w:val="center"/>
              <w:rPr>
                <w:rFonts w:ascii="Calibri" w:eastAsia="Times New Roman" w:hAnsi="Calibri" w:cs="Calibri"/>
                <w:b/>
                <w:bCs/>
                <w:color w:val="000000"/>
                <w:sz w:val="24"/>
                <w:szCs w:val="24"/>
                <w:lang w:eastAsia="sk-SK"/>
              </w:rPr>
            </w:pP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652"/>
        </w:trPr>
        <w:tc>
          <w:tcPr>
            <w:tcW w:w="2964" w:type="dxa"/>
            <w:tcBorders>
              <w:top w:val="nil"/>
              <w:left w:val="single" w:sz="8" w:space="0" w:color="auto"/>
              <w:bottom w:val="single" w:sz="4" w:space="0" w:color="auto"/>
              <w:right w:val="single" w:sz="4" w:space="0" w:color="auto"/>
            </w:tcBorders>
            <w:shd w:val="clear" w:color="auto" w:fill="4472C4" w:themeFill="accent5"/>
            <w:hideMark/>
          </w:tcPr>
          <w:p w:rsidR="00B14012" w:rsidRPr="007201CD" w:rsidRDefault="00B14012" w:rsidP="00412545">
            <w:pPr>
              <w:spacing w:after="0" w:line="240" w:lineRule="auto"/>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 xml:space="preserve">CP 4 Sociálnejšia a inkluzívnejšia Európa </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jc w:val="center"/>
              <w:rPr>
                <w:rFonts w:ascii="Calibri" w:eastAsia="Times New Roman" w:hAnsi="Calibri" w:cs="Calibri"/>
                <w:b/>
                <w:bCs/>
                <w:color w:val="000000"/>
                <w:sz w:val="24"/>
                <w:szCs w:val="24"/>
                <w:lang w:eastAsia="sk-SK"/>
              </w:rPr>
            </w:pP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315"/>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theme="minorHAnsi"/>
                <w:bCs/>
                <w:color w:val="000000"/>
                <w:sz w:val="20"/>
                <w:szCs w:val="20"/>
                <w:lang w:eastAsia="sk-SK"/>
              </w:rPr>
              <w:t>Priorita 1 Adaptabilný a prístupný trh práce</w:t>
            </w:r>
          </w:p>
        </w:tc>
        <w:tc>
          <w:tcPr>
            <w:tcW w:w="596" w:type="dxa"/>
            <w:tcBorders>
              <w:top w:val="nil"/>
              <w:left w:val="nil"/>
              <w:bottom w:val="single" w:sz="4" w:space="0" w:color="auto"/>
              <w:right w:val="single" w:sz="4" w:space="0" w:color="auto"/>
            </w:tcBorders>
            <w:shd w:val="clear" w:color="auto" w:fill="auto"/>
            <w:vAlign w:val="center"/>
            <w:hideMark/>
          </w:tcPr>
          <w:p w:rsidR="00B14012" w:rsidRPr="0069771C" w:rsidRDefault="00B14012" w:rsidP="00412545">
            <w:pPr>
              <w:spacing w:after="0" w:line="240" w:lineRule="auto"/>
              <w:jc w:val="center"/>
              <w:rPr>
                <w:rFonts w:ascii="Calibri" w:eastAsia="Times New Roman" w:hAnsi="Calibri" w:cs="Calibri"/>
                <w:bCs/>
                <w:color w:val="000000"/>
                <w:sz w:val="20"/>
                <w:szCs w:val="20"/>
                <w:lang w:eastAsia="sk-SK"/>
              </w:rPr>
            </w:pPr>
            <w:r w:rsidRPr="0069771C">
              <w:rPr>
                <w:rFonts w:ascii="Calibri" w:eastAsia="Times New Roman" w:hAnsi="Calibri" w:cs="Calibri"/>
                <w:bCs/>
                <w:color w:val="000000"/>
                <w:sz w:val="20"/>
                <w:szCs w:val="20"/>
                <w:lang w:eastAsia="sk-SK"/>
              </w:rPr>
              <w:t>X</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315"/>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theme="minorHAnsi"/>
                <w:bCs/>
                <w:color w:val="000000"/>
                <w:sz w:val="20"/>
                <w:szCs w:val="20"/>
                <w:lang w:eastAsia="sk-SK"/>
              </w:rPr>
              <w:t>Priorita 2 Kvalitné inkluzívne vzdelávanie</w:t>
            </w:r>
          </w:p>
        </w:tc>
        <w:tc>
          <w:tcPr>
            <w:tcW w:w="596" w:type="dxa"/>
            <w:tcBorders>
              <w:top w:val="nil"/>
              <w:left w:val="nil"/>
              <w:bottom w:val="single" w:sz="4" w:space="0" w:color="auto"/>
              <w:right w:val="single" w:sz="4" w:space="0" w:color="auto"/>
            </w:tcBorders>
            <w:shd w:val="clear" w:color="auto" w:fill="auto"/>
            <w:vAlign w:val="center"/>
          </w:tcPr>
          <w:p w:rsidR="00B14012" w:rsidRPr="0069771C" w:rsidRDefault="00B14012" w:rsidP="00412545">
            <w:pPr>
              <w:spacing w:after="0" w:line="240" w:lineRule="auto"/>
              <w:jc w:val="center"/>
              <w:rPr>
                <w:rFonts w:ascii="Calibri" w:eastAsia="Times New Roman" w:hAnsi="Calibri" w:cs="Calibri"/>
                <w:bCs/>
                <w:color w:val="000000"/>
                <w:sz w:val="20"/>
                <w:szCs w:val="20"/>
                <w:lang w:eastAsia="sk-SK"/>
              </w:rPr>
            </w:pPr>
            <w:r w:rsidRPr="0069771C">
              <w:rPr>
                <w:rFonts w:ascii="Calibri" w:eastAsia="Times New Roman" w:hAnsi="Calibri" w:cs="Calibri"/>
                <w:bCs/>
                <w:color w:val="000000"/>
                <w:sz w:val="20"/>
                <w:szCs w:val="20"/>
                <w:lang w:eastAsia="sk-SK"/>
              </w:rPr>
              <w:t>X</w:t>
            </w:r>
          </w:p>
        </w:tc>
        <w:tc>
          <w:tcPr>
            <w:tcW w:w="842" w:type="dxa"/>
            <w:tcBorders>
              <w:top w:val="nil"/>
              <w:left w:val="nil"/>
              <w:bottom w:val="single" w:sz="4" w:space="0" w:color="auto"/>
              <w:right w:val="single" w:sz="4" w:space="0" w:color="auto"/>
            </w:tcBorders>
            <w:shd w:val="clear" w:color="auto" w:fill="auto"/>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596" w:type="dxa"/>
            <w:tcBorders>
              <w:top w:val="nil"/>
              <w:left w:val="nil"/>
              <w:bottom w:val="single" w:sz="4" w:space="0" w:color="auto"/>
              <w:right w:val="single" w:sz="4" w:space="0" w:color="auto"/>
            </w:tcBorders>
            <w:shd w:val="clear" w:color="auto" w:fill="auto"/>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596" w:type="dxa"/>
            <w:tcBorders>
              <w:top w:val="nil"/>
              <w:left w:val="nil"/>
              <w:bottom w:val="single" w:sz="4" w:space="0" w:color="auto"/>
              <w:right w:val="single" w:sz="4" w:space="0" w:color="auto"/>
            </w:tcBorders>
            <w:shd w:val="clear" w:color="auto" w:fill="auto"/>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701" w:type="dxa"/>
            <w:tcBorders>
              <w:top w:val="nil"/>
              <w:left w:val="nil"/>
              <w:bottom w:val="single" w:sz="4" w:space="0" w:color="auto"/>
              <w:right w:val="single" w:sz="4" w:space="0" w:color="auto"/>
            </w:tcBorders>
            <w:shd w:val="clear" w:color="auto" w:fill="auto"/>
            <w:vAlign w:val="center"/>
          </w:tcPr>
          <w:p w:rsidR="00B14012" w:rsidRPr="007201CD" w:rsidRDefault="00FA0FB8" w:rsidP="00412545">
            <w:pPr>
              <w:spacing w:after="0" w:line="240" w:lineRule="auto"/>
              <w:jc w:val="center"/>
              <w:rPr>
                <w:rFonts w:ascii="Calibri" w:eastAsia="Times New Roman" w:hAnsi="Calibri" w:cs="Calibri"/>
                <w:bCs/>
                <w:color w:val="000000"/>
                <w:sz w:val="18"/>
                <w:szCs w:val="18"/>
                <w:lang w:eastAsia="sk-SK"/>
              </w:rPr>
            </w:pPr>
            <w:r>
              <w:rPr>
                <w:rFonts w:ascii="Calibri" w:eastAsia="Times New Roman" w:hAnsi="Calibri" w:cs="Calibri"/>
                <w:bCs/>
                <w:color w:val="000000"/>
                <w:sz w:val="18"/>
                <w:szCs w:val="18"/>
                <w:lang w:eastAsia="sk-SK"/>
              </w:rPr>
              <w:t>X</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FA0FB8" w:rsidP="00412545">
            <w:pPr>
              <w:spacing w:after="0" w:line="240" w:lineRule="auto"/>
              <w:jc w:val="center"/>
              <w:rPr>
                <w:rFonts w:ascii="Calibri" w:eastAsia="Times New Roman" w:hAnsi="Calibri" w:cs="Calibri"/>
                <w:bCs/>
                <w:color w:val="000000"/>
                <w:sz w:val="18"/>
                <w:szCs w:val="18"/>
                <w:lang w:eastAsia="sk-SK"/>
              </w:rPr>
            </w:pPr>
            <w:r>
              <w:rPr>
                <w:rFonts w:ascii="Calibri" w:eastAsia="Times New Roman" w:hAnsi="Calibri" w:cs="Calibri"/>
                <w:bCs/>
                <w:color w:val="000000"/>
                <w:sz w:val="18"/>
                <w:szCs w:val="18"/>
                <w:lang w:eastAsia="sk-SK"/>
              </w:rPr>
              <w:t>X</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FA0FB8" w:rsidP="00412545">
            <w:pPr>
              <w:spacing w:after="0" w:line="240" w:lineRule="auto"/>
              <w:jc w:val="center"/>
              <w:rPr>
                <w:rFonts w:ascii="Calibri" w:eastAsia="Times New Roman" w:hAnsi="Calibri" w:cs="Calibri"/>
                <w:bCs/>
                <w:color w:val="000000"/>
                <w:sz w:val="18"/>
                <w:szCs w:val="18"/>
                <w:lang w:eastAsia="sk-SK"/>
              </w:rPr>
            </w:pPr>
            <w:r>
              <w:rPr>
                <w:rFonts w:ascii="Calibri" w:eastAsia="Times New Roman" w:hAnsi="Calibri" w:cs="Calibri"/>
                <w:bCs/>
                <w:color w:val="000000"/>
                <w:sz w:val="18"/>
                <w:szCs w:val="18"/>
                <w:lang w:eastAsia="sk-SK"/>
              </w:rPr>
              <w:t>X</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569"/>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theme="minorHAnsi"/>
                <w:bCs/>
                <w:color w:val="000000"/>
                <w:sz w:val="20"/>
                <w:szCs w:val="20"/>
                <w:lang w:eastAsia="sk-SK"/>
              </w:rPr>
              <w:t>Priorita 3 Zručnosti pre lepšiu adaptabilitu a inklúziu</w:t>
            </w:r>
          </w:p>
        </w:tc>
        <w:tc>
          <w:tcPr>
            <w:tcW w:w="596" w:type="dxa"/>
            <w:tcBorders>
              <w:top w:val="nil"/>
              <w:left w:val="nil"/>
              <w:bottom w:val="single" w:sz="4" w:space="0" w:color="auto"/>
              <w:right w:val="single" w:sz="4" w:space="0" w:color="auto"/>
            </w:tcBorders>
            <w:shd w:val="clear" w:color="auto" w:fill="auto"/>
            <w:vAlign w:val="center"/>
          </w:tcPr>
          <w:p w:rsidR="00B14012" w:rsidRPr="0069771C" w:rsidRDefault="00B14012" w:rsidP="00412545">
            <w:pPr>
              <w:spacing w:after="0" w:line="240" w:lineRule="auto"/>
              <w:jc w:val="center"/>
              <w:rPr>
                <w:rFonts w:ascii="Calibri" w:eastAsia="Times New Roman" w:hAnsi="Calibri" w:cs="Calibri"/>
                <w:bCs/>
                <w:color w:val="000000"/>
                <w:sz w:val="20"/>
                <w:szCs w:val="20"/>
                <w:lang w:eastAsia="sk-SK"/>
              </w:rPr>
            </w:pPr>
            <w:r w:rsidRPr="0069771C">
              <w:rPr>
                <w:rFonts w:ascii="Calibri" w:eastAsia="Times New Roman" w:hAnsi="Calibri" w:cs="Calibri"/>
                <w:bCs/>
                <w:color w:val="000000"/>
                <w:sz w:val="20"/>
                <w:szCs w:val="20"/>
                <w:lang w:eastAsia="sk-SK"/>
              </w:rPr>
              <w:t>X</w:t>
            </w:r>
          </w:p>
        </w:tc>
        <w:tc>
          <w:tcPr>
            <w:tcW w:w="842" w:type="dxa"/>
            <w:tcBorders>
              <w:top w:val="nil"/>
              <w:left w:val="nil"/>
              <w:bottom w:val="single" w:sz="4" w:space="0" w:color="auto"/>
              <w:right w:val="single" w:sz="4" w:space="0" w:color="auto"/>
            </w:tcBorders>
            <w:shd w:val="clear" w:color="auto" w:fill="auto"/>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596" w:type="dxa"/>
            <w:tcBorders>
              <w:top w:val="nil"/>
              <w:left w:val="nil"/>
              <w:bottom w:val="single" w:sz="4" w:space="0" w:color="auto"/>
              <w:right w:val="single" w:sz="4" w:space="0" w:color="auto"/>
            </w:tcBorders>
            <w:shd w:val="clear" w:color="auto" w:fill="auto"/>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596" w:type="dxa"/>
            <w:tcBorders>
              <w:top w:val="nil"/>
              <w:left w:val="nil"/>
              <w:bottom w:val="single" w:sz="4" w:space="0" w:color="auto"/>
              <w:right w:val="single" w:sz="4" w:space="0" w:color="auto"/>
            </w:tcBorders>
            <w:shd w:val="clear" w:color="auto" w:fill="auto"/>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701" w:type="dxa"/>
            <w:tcBorders>
              <w:top w:val="nil"/>
              <w:left w:val="nil"/>
              <w:bottom w:val="single" w:sz="4" w:space="0" w:color="auto"/>
              <w:right w:val="single" w:sz="4" w:space="0" w:color="auto"/>
            </w:tcBorders>
            <w:shd w:val="clear" w:color="auto" w:fill="auto"/>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FA0FB8" w:rsidP="00412545">
            <w:pPr>
              <w:spacing w:after="0" w:line="240" w:lineRule="auto"/>
              <w:jc w:val="center"/>
              <w:rPr>
                <w:rFonts w:ascii="Calibri" w:eastAsia="Times New Roman" w:hAnsi="Calibri" w:cs="Calibri"/>
                <w:bCs/>
                <w:color w:val="000000"/>
                <w:sz w:val="18"/>
                <w:szCs w:val="18"/>
                <w:lang w:eastAsia="sk-SK"/>
              </w:rPr>
            </w:pPr>
            <w:r>
              <w:rPr>
                <w:rFonts w:ascii="Calibri" w:eastAsia="Times New Roman" w:hAnsi="Calibri" w:cs="Calibri"/>
                <w:bCs/>
                <w:color w:val="000000"/>
                <w:sz w:val="18"/>
                <w:szCs w:val="18"/>
                <w:lang w:eastAsia="sk-SK"/>
              </w:rPr>
              <w:t>X</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413"/>
        </w:trPr>
        <w:tc>
          <w:tcPr>
            <w:tcW w:w="2964" w:type="dxa"/>
            <w:tcBorders>
              <w:top w:val="single" w:sz="4" w:space="0" w:color="auto"/>
              <w:left w:val="single" w:sz="8" w:space="0" w:color="auto"/>
              <w:bottom w:val="single" w:sz="4" w:space="0" w:color="auto"/>
              <w:right w:val="single" w:sz="4" w:space="0" w:color="auto"/>
            </w:tcBorders>
            <w:shd w:val="clear" w:color="auto" w:fill="auto"/>
          </w:tcPr>
          <w:p w:rsidR="00B14012" w:rsidRDefault="00B14012" w:rsidP="00412545">
            <w:pPr>
              <w:rPr>
                <w:rFonts w:ascii="Calibri" w:hAnsi="Calibri"/>
                <w:b/>
                <w:bCs/>
                <w:color w:val="000000"/>
              </w:rPr>
            </w:pPr>
            <w:r w:rsidRPr="00C37F26">
              <w:rPr>
                <w:rFonts w:ascii="Calibri" w:eastAsia="Times New Roman" w:hAnsi="Calibri" w:cstheme="minorHAnsi"/>
                <w:bCs/>
                <w:color w:val="000000"/>
                <w:sz w:val="20"/>
                <w:szCs w:val="20"/>
                <w:lang w:eastAsia="sk-SK"/>
              </w:rPr>
              <w:t>Priorita 4 Záruka pre mladých</w:t>
            </w:r>
          </w:p>
        </w:tc>
        <w:tc>
          <w:tcPr>
            <w:tcW w:w="596" w:type="dxa"/>
            <w:tcBorders>
              <w:top w:val="single" w:sz="4" w:space="0" w:color="auto"/>
              <w:left w:val="nil"/>
              <w:bottom w:val="single" w:sz="4" w:space="0" w:color="auto"/>
              <w:right w:val="single" w:sz="4" w:space="0" w:color="auto"/>
            </w:tcBorders>
            <w:shd w:val="clear" w:color="auto" w:fill="auto"/>
            <w:vAlign w:val="center"/>
          </w:tcPr>
          <w:p w:rsidR="00B14012" w:rsidRPr="0069771C" w:rsidRDefault="00B14012" w:rsidP="00412545">
            <w:pPr>
              <w:jc w:val="center"/>
              <w:rPr>
                <w:rFonts w:ascii="Calibri" w:hAnsi="Calibri"/>
                <w:bCs/>
                <w:color w:val="000000"/>
                <w:sz w:val="20"/>
                <w:szCs w:val="20"/>
              </w:rPr>
            </w:pPr>
            <w:r w:rsidRPr="0069771C">
              <w:rPr>
                <w:rFonts w:ascii="Calibri" w:hAnsi="Calibri"/>
                <w:bCs/>
                <w:color w:val="000000"/>
                <w:sz w:val="20"/>
                <w:szCs w:val="20"/>
              </w:rPr>
              <w:t>X</w:t>
            </w:r>
          </w:p>
        </w:tc>
        <w:tc>
          <w:tcPr>
            <w:tcW w:w="842" w:type="dxa"/>
            <w:tcBorders>
              <w:top w:val="single" w:sz="4" w:space="0" w:color="auto"/>
              <w:left w:val="nil"/>
              <w:bottom w:val="single" w:sz="4" w:space="0" w:color="auto"/>
              <w:right w:val="single" w:sz="4" w:space="0" w:color="auto"/>
            </w:tcBorders>
            <w:shd w:val="clear" w:color="auto" w:fill="auto"/>
            <w:vAlign w:val="center"/>
          </w:tcPr>
          <w:p w:rsidR="00B14012" w:rsidRPr="007201CD" w:rsidRDefault="00B14012" w:rsidP="00412545">
            <w:pPr>
              <w:jc w:val="center"/>
              <w:rPr>
                <w:rFonts w:ascii="Calibri" w:hAnsi="Calibri"/>
                <w:bCs/>
                <w:color w:val="000000"/>
                <w:sz w:val="18"/>
                <w:szCs w:val="18"/>
              </w:rPr>
            </w:pPr>
            <w:r w:rsidRPr="007201CD">
              <w:rPr>
                <w:rFonts w:ascii="Calibri" w:hAnsi="Calibri"/>
                <w:bCs/>
                <w:color w:val="000000"/>
                <w:sz w:val="18"/>
                <w:szCs w:val="18"/>
              </w:rPr>
              <w:t>X</w:t>
            </w:r>
          </w:p>
        </w:tc>
        <w:tc>
          <w:tcPr>
            <w:tcW w:w="596" w:type="dxa"/>
            <w:tcBorders>
              <w:top w:val="single" w:sz="4" w:space="0" w:color="auto"/>
              <w:left w:val="nil"/>
              <w:bottom w:val="single" w:sz="4" w:space="0" w:color="auto"/>
              <w:right w:val="single" w:sz="4" w:space="0" w:color="auto"/>
            </w:tcBorders>
            <w:shd w:val="clear" w:color="auto" w:fill="auto"/>
            <w:vAlign w:val="center"/>
          </w:tcPr>
          <w:p w:rsidR="00B14012" w:rsidRPr="007201CD" w:rsidRDefault="00B14012" w:rsidP="00412545">
            <w:pPr>
              <w:jc w:val="center"/>
              <w:rPr>
                <w:rFonts w:ascii="Calibri" w:hAnsi="Calibri"/>
                <w:bCs/>
                <w:color w:val="000000"/>
                <w:sz w:val="18"/>
                <w:szCs w:val="18"/>
              </w:rPr>
            </w:pPr>
            <w:r w:rsidRPr="007201CD">
              <w:rPr>
                <w:rFonts w:ascii="Calibri" w:hAnsi="Calibri"/>
                <w:bCs/>
                <w:color w:val="000000"/>
                <w:sz w:val="18"/>
                <w:szCs w:val="18"/>
              </w:rPr>
              <w:t>X</w:t>
            </w:r>
          </w:p>
        </w:tc>
        <w:tc>
          <w:tcPr>
            <w:tcW w:w="596" w:type="dxa"/>
            <w:tcBorders>
              <w:top w:val="single" w:sz="4" w:space="0" w:color="auto"/>
              <w:left w:val="nil"/>
              <w:bottom w:val="single" w:sz="4" w:space="0" w:color="auto"/>
              <w:right w:val="single" w:sz="4" w:space="0" w:color="auto"/>
            </w:tcBorders>
            <w:shd w:val="clear" w:color="auto" w:fill="auto"/>
            <w:vAlign w:val="center"/>
          </w:tcPr>
          <w:p w:rsidR="00B14012" w:rsidRPr="007201CD" w:rsidRDefault="00B14012" w:rsidP="00412545">
            <w:pPr>
              <w:jc w:val="center"/>
              <w:rPr>
                <w:rFonts w:ascii="Calibri" w:hAnsi="Calibri"/>
                <w:bCs/>
                <w:color w:val="000000"/>
                <w:sz w:val="18"/>
                <w:szCs w:val="18"/>
              </w:rPr>
            </w:pPr>
            <w:r w:rsidRPr="007201CD">
              <w:rPr>
                <w:rFonts w:ascii="Calibri" w:hAnsi="Calibri"/>
                <w:bCs/>
                <w:color w:val="000000"/>
                <w:sz w:val="18"/>
                <w:szCs w:val="18"/>
              </w:rPr>
              <w:t>X</w:t>
            </w:r>
          </w:p>
        </w:tc>
        <w:tc>
          <w:tcPr>
            <w:tcW w:w="701" w:type="dxa"/>
            <w:tcBorders>
              <w:top w:val="single" w:sz="4" w:space="0" w:color="auto"/>
              <w:left w:val="nil"/>
              <w:bottom w:val="single" w:sz="4" w:space="0" w:color="auto"/>
              <w:right w:val="single" w:sz="4" w:space="0" w:color="auto"/>
            </w:tcBorders>
            <w:shd w:val="clear" w:color="auto" w:fill="auto"/>
            <w:vAlign w:val="center"/>
          </w:tcPr>
          <w:p w:rsidR="00B14012" w:rsidRPr="007201CD" w:rsidRDefault="00FA0FB8" w:rsidP="00412545">
            <w:pPr>
              <w:jc w:val="center"/>
              <w:rPr>
                <w:rFonts w:ascii="Calibri" w:hAnsi="Calibri"/>
                <w:bCs/>
                <w:color w:val="000000"/>
                <w:sz w:val="18"/>
                <w:szCs w:val="18"/>
              </w:rPr>
            </w:pPr>
            <w:r>
              <w:rPr>
                <w:rFonts w:ascii="Calibri" w:hAnsi="Calibri"/>
                <w:bCs/>
                <w:color w:val="000000"/>
                <w:sz w:val="18"/>
                <w:szCs w:val="18"/>
              </w:rPr>
              <w:t>X</w:t>
            </w:r>
          </w:p>
        </w:tc>
        <w:tc>
          <w:tcPr>
            <w:tcW w:w="956" w:type="dxa"/>
            <w:gridSpan w:val="2"/>
            <w:tcBorders>
              <w:top w:val="single" w:sz="4" w:space="0" w:color="auto"/>
              <w:left w:val="nil"/>
              <w:bottom w:val="single" w:sz="4" w:space="0" w:color="auto"/>
              <w:right w:val="single" w:sz="4" w:space="0" w:color="auto"/>
            </w:tcBorders>
            <w:shd w:val="clear" w:color="auto" w:fill="auto"/>
            <w:vAlign w:val="center"/>
          </w:tcPr>
          <w:p w:rsidR="00B14012" w:rsidRPr="007201CD" w:rsidRDefault="00B14012" w:rsidP="00412545">
            <w:pPr>
              <w:jc w:val="center"/>
              <w:rPr>
                <w:rFonts w:ascii="Calibri" w:hAnsi="Calibri"/>
                <w:bCs/>
                <w:color w:val="000000"/>
                <w:sz w:val="18"/>
                <w:szCs w:val="18"/>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B14012" w:rsidRPr="007201CD" w:rsidRDefault="00B14012" w:rsidP="00412545">
            <w:pPr>
              <w:jc w:val="center"/>
              <w:rPr>
                <w:rFonts w:ascii="Calibri" w:hAnsi="Calibri"/>
                <w:bCs/>
                <w:color w:val="000000"/>
                <w:sz w:val="18"/>
                <w:szCs w:val="18"/>
              </w:rPr>
            </w:pPr>
          </w:p>
        </w:tc>
        <w:tc>
          <w:tcPr>
            <w:tcW w:w="1109" w:type="dxa"/>
            <w:tcBorders>
              <w:top w:val="single" w:sz="4" w:space="0" w:color="auto"/>
              <w:left w:val="nil"/>
              <w:bottom w:val="single" w:sz="4" w:space="0" w:color="auto"/>
              <w:right w:val="single" w:sz="4" w:space="0" w:color="auto"/>
            </w:tcBorders>
            <w:shd w:val="clear" w:color="auto" w:fill="auto"/>
            <w:vAlign w:val="center"/>
          </w:tcPr>
          <w:p w:rsidR="00B14012" w:rsidRPr="007201CD" w:rsidRDefault="00B14012" w:rsidP="00412545">
            <w:pPr>
              <w:jc w:val="center"/>
              <w:rPr>
                <w:rFonts w:ascii="Calibri" w:hAnsi="Calibri"/>
                <w:bCs/>
                <w:color w:val="000000"/>
                <w:sz w:val="18"/>
                <w:szCs w:val="18"/>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B14012" w:rsidRPr="007201CD" w:rsidRDefault="00B14012" w:rsidP="00412545">
            <w:pPr>
              <w:jc w:val="center"/>
              <w:rPr>
                <w:rFonts w:ascii="Calibri" w:hAnsi="Calibri"/>
                <w:bCs/>
                <w:color w:val="000000"/>
                <w:sz w:val="18"/>
                <w:szCs w:val="18"/>
              </w:rPr>
            </w:pPr>
          </w:p>
        </w:tc>
        <w:tc>
          <w:tcPr>
            <w:tcW w:w="612" w:type="dxa"/>
            <w:tcBorders>
              <w:top w:val="single" w:sz="4" w:space="0" w:color="auto"/>
              <w:left w:val="nil"/>
              <w:bottom w:val="single" w:sz="4" w:space="0" w:color="auto"/>
              <w:right w:val="single" w:sz="4" w:space="0" w:color="auto"/>
            </w:tcBorders>
            <w:shd w:val="clear" w:color="auto" w:fill="auto"/>
            <w:vAlign w:val="center"/>
          </w:tcPr>
          <w:p w:rsidR="00B14012" w:rsidRPr="007201CD" w:rsidRDefault="00B14012" w:rsidP="00412545">
            <w:pPr>
              <w:jc w:val="center"/>
              <w:rPr>
                <w:rFonts w:ascii="Calibri" w:hAnsi="Calibri"/>
                <w:bCs/>
                <w:color w:val="000000"/>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B14012" w:rsidRPr="007201CD" w:rsidRDefault="00B14012" w:rsidP="00412545">
            <w:pPr>
              <w:rPr>
                <w:rFonts w:ascii="Calibri" w:hAnsi="Calibri"/>
                <w:bCs/>
                <w:color w:val="000000"/>
                <w:sz w:val="18"/>
                <w:szCs w:val="18"/>
              </w:rPr>
            </w:pPr>
            <w:r w:rsidRPr="007201CD">
              <w:rPr>
                <w:rFonts w:ascii="Calibri" w:hAnsi="Calibri"/>
                <w:bCs/>
                <w:color w:val="000000"/>
                <w:sz w:val="18"/>
                <w:szCs w:val="18"/>
              </w:rPr>
              <w:t> </w:t>
            </w:r>
          </w:p>
        </w:tc>
        <w:tc>
          <w:tcPr>
            <w:tcW w:w="933" w:type="dxa"/>
            <w:tcBorders>
              <w:top w:val="single" w:sz="4" w:space="0" w:color="auto"/>
              <w:left w:val="nil"/>
              <w:bottom w:val="single" w:sz="4" w:space="0" w:color="auto"/>
              <w:right w:val="single" w:sz="4" w:space="0" w:color="auto"/>
            </w:tcBorders>
            <w:shd w:val="clear" w:color="auto" w:fill="auto"/>
            <w:vAlign w:val="center"/>
          </w:tcPr>
          <w:p w:rsidR="00B14012" w:rsidRPr="007201CD" w:rsidRDefault="00B14012" w:rsidP="00412545">
            <w:pPr>
              <w:jc w:val="center"/>
              <w:rPr>
                <w:rFonts w:ascii="Calibri" w:hAnsi="Calibri"/>
                <w:bCs/>
                <w:color w:val="000000"/>
                <w:sz w:val="18"/>
                <w:szCs w:val="18"/>
              </w:rPr>
            </w:pPr>
            <w:r w:rsidRPr="007201CD">
              <w:rPr>
                <w:rFonts w:ascii="Calibri" w:hAnsi="Calibri"/>
                <w:bCs/>
                <w:color w:val="000000"/>
                <w:sz w:val="18"/>
                <w:szCs w:val="18"/>
              </w:rPr>
              <w:t>X</w:t>
            </w:r>
          </w:p>
        </w:tc>
        <w:tc>
          <w:tcPr>
            <w:tcW w:w="1228" w:type="dxa"/>
            <w:tcBorders>
              <w:top w:val="single" w:sz="4" w:space="0" w:color="auto"/>
              <w:left w:val="nil"/>
              <w:bottom w:val="single" w:sz="4" w:space="0" w:color="auto"/>
              <w:right w:val="single" w:sz="8" w:space="0" w:color="auto"/>
            </w:tcBorders>
            <w:shd w:val="clear" w:color="auto" w:fill="auto"/>
            <w:vAlign w:val="center"/>
          </w:tcPr>
          <w:p w:rsidR="00B14012" w:rsidRPr="007201CD" w:rsidRDefault="00B14012" w:rsidP="00412545">
            <w:pPr>
              <w:jc w:val="center"/>
              <w:rPr>
                <w:rFonts w:ascii="Calibri" w:hAnsi="Calibri"/>
                <w:bCs/>
                <w:color w:val="000000"/>
                <w:sz w:val="18"/>
                <w:szCs w:val="18"/>
              </w:rPr>
            </w:pPr>
            <w:r w:rsidRPr="007201CD">
              <w:rPr>
                <w:rFonts w:ascii="Calibri" w:hAnsi="Calibri"/>
                <w:bCs/>
                <w:color w:val="000000"/>
                <w:sz w:val="18"/>
                <w:szCs w:val="18"/>
              </w:rPr>
              <w:t>X</w:t>
            </w:r>
          </w:p>
        </w:tc>
        <w:tc>
          <w:tcPr>
            <w:tcW w:w="425" w:type="dxa"/>
            <w:tcBorders>
              <w:top w:val="nil"/>
              <w:left w:val="nil"/>
              <w:bottom w:val="nil"/>
              <w:right w:val="nil"/>
            </w:tcBorders>
            <w:shd w:val="clear" w:color="auto" w:fill="auto"/>
            <w:noWrap/>
            <w:vAlign w:val="bottom"/>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725"/>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theme="minorHAnsi"/>
                <w:bCs/>
                <w:color w:val="000000"/>
                <w:sz w:val="20"/>
                <w:szCs w:val="20"/>
                <w:lang w:eastAsia="sk-SK"/>
              </w:rPr>
              <w:t>Priorita 5 Aktívne začlenenie a dostupné služby (oblasť zdravia, kultúry a sociálna oblasť)</w:t>
            </w:r>
          </w:p>
        </w:tc>
        <w:tc>
          <w:tcPr>
            <w:tcW w:w="596" w:type="dxa"/>
            <w:tcBorders>
              <w:top w:val="nil"/>
              <w:left w:val="single" w:sz="4" w:space="0" w:color="auto"/>
              <w:bottom w:val="single" w:sz="4" w:space="0" w:color="auto"/>
              <w:right w:val="single" w:sz="4" w:space="0" w:color="auto"/>
            </w:tcBorders>
            <w:vAlign w:val="center"/>
          </w:tcPr>
          <w:p w:rsidR="00B14012" w:rsidRPr="0069771C" w:rsidRDefault="00B14012" w:rsidP="00412545">
            <w:pPr>
              <w:spacing w:after="0" w:line="240" w:lineRule="auto"/>
              <w:jc w:val="center"/>
              <w:rPr>
                <w:rFonts w:ascii="Calibri" w:eastAsia="Times New Roman" w:hAnsi="Calibri" w:cs="Calibri"/>
                <w:bCs/>
                <w:color w:val="000000"/>
                <w:sz w:val="20"/>
                <w:szCs w:val="20"/>
                <w:lang w:eastAsia="sk-SK"/>
              </w:rPr>
            </w:pPr>
            <w:r w:rsidRPr="0069771C">
              <w:rPr>
                <w:rFonts w:ascii="Calibri" w:eastAsia="Times New Roman" w:hAnsi="Calibri" w:cs="Calibri"/>
                <w:bCs/>
                <w:color w:val="000000"/>
                <w:sz w:val="20"/>
                <w:szCs w:val="20"/>
                <w:lang w:eastAsia="sk-SK"/>
              </w:rPr>
              <w:t>X</w:t>
            </w:r>
          </w:p>
        </w:tc>
        <w:tc>
          <w:tcPr>
            <w:tcW w:w="842"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596"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701"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56" w:type="dxa"/>
            <w:gridSpan w:val="2"/>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73"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933"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28" w:type="dxa"/>
            <w:tcBorders>
              <w:top w:val="nil"/>
              <w:left w:val="single" w:sz="4" w:space="0" w:color="auto"/>
              <w:bottom w:val="single" w:sz="4" w:space="0" w:color="auto"/>
              <w:right w:val="single" w:sz="8" w:space="0" w:color="auto"/>
            </w:tcBorders>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373"/>
        </w:trPr>
        <w:tc>
          <w:tcPr>
            <w:tcW w:w="2964" w:type="dxa"/>
            <w:tcBorders>
              <w:top w:val="nil"/>
              <w:left w:val="single" w:sz="8" w:space="0" w:color="auto"/>
              <w:bottom w:val="single" w:sz="4" w:space="0" w:color="auto"/>
              <w:right w:val="single" w:sz="4" w:space="0" w:color="auto"/>
            </w:tcBorders>
            <w:shd w:val="clear" w:color="auto" w:fill="auto"/>
          </w:tcPr>
          <w:p w:rsidR="00B14012" w:rsidRPr="00A91631" w:rsidRDefault="00B14012" w:rsidP="00412545">
            <w:pPr>
              <w:spacing w:after="0" w:line="240" w:lineRule="auto"/>
              <w:rPr>
                <w:rFonts w:ascii="Calibri" w:eastAsia="Times New Roman" w:hAnsi="Calibri" w:cstheme="minorHAnsi"/>
                <w:bCs/>
                <w:color w:val="000000"/>
                <w:sz w:val="20"/>
                <w:szCs w:val="20"/>
                <w:lang w:eastAsia="sk-SK"/>
              </w:rPr>
            </w:pPr>
            <w:r w:rsidRPr="00C37F26">
              <w:rPr>
                <w:rFonts w:ascii="Calibri" w:eastAsia="Times New Roman" w:hAnsi="Calibri" w:cstheme="minorHAnsi"/>
                <w:bCs/>
                <w:color w:val="000000"/>
                <w:sz w:val="20"/>
                <w:szCs w:val="20"/>
                <w:lang w:eastAsia="sk-SK"/>
              </w:rPr>
              <w:t>Priorita 6 Aktívne začlenenie rómskych komunít</w:t>
            </w:r>
            <w:r w:rsidRPr="00C37F26">
              <w:rPr>
                <w:rFonts w:ascii="Calibri" w:eastAsia="Times New Roman" w:hAnsi="Calibri" w:cstheme="minorHAnsi"/>
                <w:bCs/>
                <w:color w:val="000000"/>
                <w:sz w:val="20"/>
                <w:szCs w:val="20"/>
                <w:lang w:eastAsia="sk-SK"/>
              </w:rPr>
              <w:tab/>
            </w:r>
          </w:p>
        </w:tc>
        <w:tc>
          <w:tcPr>
            <w:tcW w:w="596" w:type="dxa"/>
            <w:tcBorders>
              <w:top w:val="nil"/>
              <w:left w:val="single" w:sz="4" w:space="0" w:color="auto"/>
              <w:bottom w:val="single" w:sz="4" w:space="0" w:color="auto"/>
              <w:right w:val="single" w:sz="4" w:space="0" w:color="auto"/>
            </w:tcBorders>
            <w:vAlign w:val="center"/>
          </w:tcPr>
          <w:p w:rsidR="00B14012" w:rsidRPr="0069771C" w:rsidRDefault="00B14012" w:rsidP="00412545">
            <w:pPr>
              <w:spacing w:after="0" w:line="240" w:lineRule="auto"/>
              <w:jc w:val="center"/>
              <w:rPr>
                <w:rFonts w:ascii="Calibri" w:eastAsia="Times New Roman" w:hAnsi="Calibri" w:cs="Calibri"/>
                <w:bCs/>
                <w:color w:val="000000"/>
                <w:sz w:val="20"/>
                <w:szCs w:val="20"/>
                <w:lang w:eastAsia="sk-SK"/>
              </w:rPr>
            </w:pPr>
            <w:r w:rsidRPr="0069771C">
              <w:rPr>
                <w:rFonts w:ascii="Calibri" w:eastAsia="Times New Roman" w:hAnsi="Calibri" w:cs="Calibri"/>
                <w:bCs/>
                <w:color w:val="000000"/>
                <w:sz w:val="20"/>
                <w:szCs w:val="20"/>
                <w:lang w:eastAsia="sk-SK"/>
              </w:rPr>
              <w:t>X</w:t>
            </w:r>
          </w:p>
        </w:tc>
        <w:tc>
          <w:tcPr>
            <w:tcW w:w="842"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596"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596"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701"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56" w:type="dxa"/>
            <w:gridSpan w:val="2"/>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273"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412"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933"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28" w:type="dxa"/>
            <w:tcBorders>
              <w:top w:val="nil"/>
              <w:left w:val="single" w:sz="4" w:space="0" w:color="auto"/>
              <w:bottom w:val="single" w:sz="4" w:space="0" w:color="auto"/>
              <w:right w:val="single" w:sz="8" w:space="0" w:color="auto"/>
            </w:tcBorders>
            <w:vAlign w:val="center"/>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425" w:type="dxa"/>
            <w:tcBorders>
              <w:top w:val="nil"/>
              <w:left w:val="nil"/>
              <w:bottom w:val="nil"/>
              <w:right w:val="nil"/>
            </w:tcBorders>
            <w:shd w:val="clear" w:color="auto" w:fill="auto"/>
            <w:noWrap/>
            <w:vAlign w:val="bottom"/>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416"/>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theme="minorHAnsi"/>
                <w:bCs/>
                <w:color w:val="000000"/>
                <w:sz w:val="20"/>
                <w:szCs w:val="20"/>
                <w:lang w:eastAsia="sk-SK"/>
              </w:rPr>
              <w:t>Priorita 7 Sociálne inovácie a experimenty</w:t>
            </w:r>
          </w:p>
        </w:tc>
        <w:tc>
          <w:tcPr>
            <w:tcW w:w="596" w:type="dxa"/>
            <w:tcBorders>
              <w:top w:val="nil"/>
              <w:left w:val="single" w:sz="4" w:space="0" w:color="auto"/>
              <w:bottom w:val="single" w:sz="4" w:space="0" w:color="auto"/>
              <w:right w:val="single" w:sz="4" w:space="0" w:color="auto"/>
            </w:tcBorders>
            <w:vAlign w:val="center"/>
          </w:tcPr>
          <w:p w:rsidR="00B14012" w:rsidRPr="0069771C" w:rsidRDefault="00B14012" w:rsidP="00412545">
            <w:pPr>
              <w:spacing w:after="0" w:line="240" w:lineRule="auto"/>
              <w:rPr>
                <w:rFonts w:ascii="Calibri" w:eastAsia="Times New Roman" w:hAnsi="Calibri" w:cs="Calibri"/>
                <w:bCs/>
                <w:color w:val="000000"/>
                <w:sz w:val="20"/>
                <w:szCs w:val="20"/>
                <w:lang w:eastAsia="sk-SK"/>
              </w:rPr>
            </w:pPr>
          </w:p>
        </w:tc>
        <w:tc>
          <w:tcPr>
            <w:tcW w:w="842" w:type="dxa"/>
            <w:tcBorders>
              <w:top w:val="nil"/>
              <w:left w:val="single" w:sz="4" w:space="0" w:color="auto"/>
              <w:bottom w:val="single" w:sz="4" w:space="0" w:color="auto"/>
              <w:right w:val="single" w:sz="4" w:space="0" w:color="auto"/>
            </w:tcBorders>
            <w:vAlign w:val="center"/>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596"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596"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701"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956" w:type="dxa"/>
            <w:gridSpan w:val="2"/>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1031"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1109"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1273"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612"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1412"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933" w:type="dxa"/>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28" w:type="dxa"/>
            <w:tcBorders>
              <w:top w:val="nil"/>
              <w:left w:val="single" w:sz="4" w:space="0" w:color="auto"/>
              <w:bottom w:val="single" w:sz="4" w:space="0" w:color="auto"/>
              <w:right w:val="single" w:sz="8" w:space="0" w:color="auto"/>
            </w:tcBorders>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480"/>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theme="minorHAnsi"/>
                <w:bCs/>
                <w:color w:val="000000"/>
                <w:sz w:val="20"/>
                <w:szCs w:val="20"/>
                <w:lang w:eastAsia="sk-SK"/>
              </w:rPr>
              <w:lastRenderedPageBreak/>
              <w:t>Priorita 8 Potravinová a materiálna deprivácia</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X</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X</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X</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X</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7201CD">
        <w:trPr>
          <w:trHeight w:val="617"/>
        </w:trPr>
        <w:tc>
          <w:tcPr>
            <w:tcW w:w="2964" w:type="dxa"/>
            <w:tcBorders>
              <w:top w:val="nil"/>
              <w:left w:val="single" w:sz="8" w:space="0" w:color="auto"/>
              <w:bottom w:val="single" w:sz="4" w:space="0" w:color="auto"/>
              <w:right w:val="single" w:sz="4" w:space="0" w:color="auto"/>
            </w:tcBorders>
            <w:shd w:val="clear" w:color="auto" w:fill="4472C4" w:themeFill="accent5"/>
            <w:hideMark/>
          </w:tcPr>
          <w:p w:rsidR="00B14012" w:rsidRPr="007201CD" w:rsidRDefault="00B14012" w:rsidP="00412545">
            <w:pPr>
              <w:spacing w:after="0" w:line="240" w:lineRule="auto"/>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CP 5 Európa bližšie k občanom</w:t>
            </w:r>
          </w:p>
        </w:tc>
        <w:tc>
          <w:tcPr>
            <w:tcW w:w="596" w:type="dxa"/>
            <w:tcBorders>
              <w:top w:val="nil"/>
              <w:left w:val="nil"/>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1835"/>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RSO5.1 Podpora integrovaného a inkluzívneho sociálneho, hospodárskeho a environmentálneho rozvoja, kultúry, prírodného dedičstva, udržateľného cestovného ruchu a bezpečnosti v mestských oblastiach</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20"/>
                <w:szCs w:val="20"/>
                <w:lang w:eastAsia="sk-SK"/>
              </w:rPr>
            </w:pPr>
            <w:r w:rsidRPr="007201CD">
              <w:rPr>
                <w:rFonts w:ascii="Calibri" w:eastAsia="Times New Roman" w:hAnsi="Calibri" w:cs="Calibri"/>
                <w:bCs/>
                <w:color w:val="000000"/>
                <w:sz w:val="20"/>
                <w:szCs w:val="20"/>
                <w:lang w:eastAsia="sk-SK"/>
              </w:rPr>
              <w:t>X</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7201CD" w:rsidP="00412545">
            <w:pPr>
              <w:spacing w:after="0" w:line="240" w:lineRule="auto"/>
              <w:jc w:val="center"/>
              <w:rPr>
                <w:rFonts w:ascii="Calibri" w:eastAsia="Times New Roman" w:hAnsi="Calibri" w:cs="Calibri"/>
                <w:bCs/>
                <w:color w:val="000000"/>
                <w:sz w:val="18"/>
                <w:szCs w:val="18"/>
                <w:lang w:eastAsia="sk-SK"/>
              </w:rPr>
            </w:pPr>
            <w:r>
              <w:rPr>
                <w:rFonts w:ascii="Calibri" w:eastAsia="Times New Roman" w:hAnsi="Calibri" w:cs="Calibri"/>
                <w:bCs/>
                <w:color w:val="000000"/>
                <w:sz w:val="18"/>
                <w:szCs w:val="18"/>
                <w:lang w:eastAsia="sk-SK"/>
              </w:rPr>
              <w:t>X</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2004"/>
        </w:trPr>
        <w:tc>
          <w:tcPr>
            <w:tcW w:w="2964" w:type="dxa"/>
            <w:tcBorders>
              <w:top w:val="nil"/>
              <w:left w:val="single" w:sz="8" w:space="0" w:color="auto"/>
              <w:bottom w:val="single" w:sz="4" w:space="0" w:color="auto"/>
              <w:right w:val="single" w:sz="4" w:space="0" w:color="auto"/>
            </w:tcBorders>
            <w:shd w:val="clear" w:color="auto" w:fill="auto"/>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RSO5.2 Podpora integrovaného a inkluzívneho sociálneho, hospodárskeho a environmentálneho miestneho rozvoja, kultúry, prírodného dedičstva, udržateľného cestovného ruchu a bezpečnosti v iných ako mestských oblastiach</w:t>
            </w: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20"/>
                <w:szCs w:val="20"/>
                <w:lang w:eastAsia="sk-SK"/>
              </w:rPr>
            </w:pPr>
            <w:r w:rsidRPr="007201CD">
              <w:rPr>
                <w:rFonts w:ascii="Calibri" w:eastAsia="Times New Roman" w:hAnsi="Calibri" w:cs="Calibri"/>
                <w:bCs/>
                <w:color w:val="000000"/>
                <w:sz w:val="20"/>
                <w:szCs w:val="20"/>
                <w:lang w:eastAsia="sk-SK"/>
              </w:rPr>
              <w:t>X</w:t>
            </w:r>
          </w:p>
        </w:tc>
        <w:tc>
          <w:tcPr>
            <w:tcW w:w="84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70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56" w:type="dxa"/>
            <w:gridSpan w:val="2"/>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109"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412"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tcBorders>
              <w:top w:val="nil"/>
              <w:left w:val="nil"/>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28" w:type="dxa"/>
            <w:tcBorders>
              <w:top w:val="nil"/>
              <w:left w:val="nil"/>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315"/>
        </w:trPr>
        <w:tc>
          <w:tcPr>
            <w:tcW w:w="2964" w:type="dxa"/>
            <w:vMerge w:val="restart"/>
            <w:tcBorders>
              <w:top w:val="nil"/>
              <w:left w:val="single" w:sz="8" w:space="0" w:color="auto"/>
              <w:bottom w:val="single" w:sz="4" w:space="0" w:color="auto"/>
              <w:right w:val="single" w:sz="4" w:space="0" w:color="auto"/>
            </w:tcBorders>
            <w:shd w:val="clear" w:color="auto" w:fill="4472C4" w:themeFill="accent5"/>
            <w:hideMark/>
          </w:tcPr>
          <w:p w:rsidR="00B14012" w:rsidRPr="007201CD" w:rsidRDefault="00B14012" w:rsidP="00412545">
            <w:pPr>
              <w:spacing w:after="0" w:line="240" w:lineRule="auto"/>
              <w:rPr>
                <w:rFonts w:ascii="Calibri" w:eastAsia="Times New Roman" w:hAnsi="Calibri" w:cs="Calibri"/>
                <w:b/>
                <w:bCs/>
                <w:color w:val="FFFFFF"/>
                <w:lang w:eastAsia="sk-SK"/>
              </w:rPr>
            </w:pPr>
            <w:r w:rsidRPr="007201CD">
              <w:rPr>
                <w:rFonts w:ascii="Calibri" w:eastAsia="Times New Roman" w:hAnsi="Calibri" w:cs="Calibri"/>
                <w:b/>
                <w:bCs/>
                <w:color w:val="FFFFFF"/>
                <w:lang w:eastAsia="sk-SK"/>
              </w:rPr>
              <w:t>Fond spravodlivej transformácie</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612"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vMerge w:val="restart"/>
            <w:tcBorders>
              <w:top w:val="nil"/>
              <w:left w:val="single" w:sz="4" w:space="0" w:color="auto"/>
              <w:bottom w:val="single" w:sz="4"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315"/>
        </w:trPr>
        <w:tc>
          <w:tcPr>
            <w:tcW w:w="2964" w:type="dxa"/>
            <w:vMerge/>
            <w:tcBorders>
              <w:top w:val="nil"/>
              <w:left w:val="single" w:sz="8" w:space="0" w:color="auto"/>
              <w:bottom w:val="single" w:sz="4" w:space="0" w:color="auto"/>
              <w:right w:val="single" w:sz="4" w:space="0" w:color="auto"/>
            </w:tcBorders>
            <w:shd w:val="clear" w:color="auto" w:fill="4472C4" w:themeFill="accent5"/>
            <w:vAlign w:val="center"/>
            <w:hideMark/>
          </w:tcPr>
          <w:p w:rsidR="00B14012" w:rsidRPr="00041A92" w:rsidRDefault="00B14012" w:rsidP="00412545">
            <w:pPr>
              <w:spacing w:after="0" w:line="240" w:lineRule="auto"/>
              <w:rPr>
                <w:rFonts w:ascii="Calibri" w:eastAsia="Times New Roman" w:hAnsi="Calibri" w:cs="Calibri"/>
                <w:b/>
                <w:bCs/>
                <w:color w:val="FFFFFF"/>
                <w:sz w:val="24"/>
                <w:szCs w:val="24"/>
                <w:lang w:eastAsia="sk-SK"/>
              </w:rPr>
            </w:pPr>
          </w:p>
        </w:tc>
        <w:tc>
          <w:tcPr>
            <w:tcW w:w="596" w:type="dxa"/>
            <w:vMerge/>
            <w:tcBorders>
              <w:top w:val="nil"/>
              <w:left w:val="single" w:sz="4" w:space="0" w:color="auto"/>
              <w:bottom w:val="single" w:sz="4" w:space="0" w:color="auto"/>
              <w:right w:val="single" w:sz="4" w:space="0" w:color="auto"/>
            </w:tcBorders>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842" w:type="dxa"/>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596" w:type="dxa"/>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596" w:type="dxa"/>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701" w:type="dxa"/>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956" w:type="dxa"/>
            <w:gridSpan w:val="2"/>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1031" w:type="dxa"/>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1109" w:type="dxa"/>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1273" w:type="dxa"/>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612" w:type="dxa"/>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1412" w:type="dxa"/>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933" w:type="dxa"/>
            <w:vMerge/>
            <w:tcBorders>
              <w:top w:val="nil"/>
              <w:left w:val="single" w:sz="4" w:space="0" w:color="auto"/>
              <w:bottom w:val="single" w:sz="4" w:space="0" w:color="auto"/>
              <w:right w:val="single" w:sz="4"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1228" w:type="dxa"/>
            <w:vMerge/>
            <w:tcBorders>
              <w:top w:val="nil"/>
              <w:left w:val="single" w:sz="4" w:space="0" w:color="auto"/>
              <w:bottom w:val="single" w:sz="4" w:space="0" w:color="auto"/>
              <w:right w:val="single" w:sz="8" w:space="0" w:color="auto"/>
            </w:tcBorders>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r w:rsidR="00B14012" w:rsidRPr="00041A92" w:rsidTr="00412545">
        <w:trPr>
          <w:trHeight w:val="2220"/>
        </w:trPr>
        <w:tc>
          <w:tcPr>
            <w:tcW w:w="2964" w:type="dxa"/>
            <w:tcBorders>
              <w:top w:val="nil"/>
              <w:left w:val="single" w:sz="8" w:space="0" w:color="auto"/>
              <w:bottom w:val="single" w:sz="8" w:space="0" w:color="auto"/>
              <w:right w:val="single" w:sz="4" w:space="0" w:color="auto"/>
            </w:tcBorders>
            <w:shd w:val="clear" w:color="auto" w:fill="auto"/>
            <w:vAlign w:val="center"/>
            <w:hideMark/>
          </w:tcPr>
          <w:p w:rsidR="00B14012" w:rsidRPr="00A91631" w:rsidRDefault="00B14012" w:rsidP="00412545">
            <w:pPr>
              <w:spacing w:after="0" w:line="240" w:lineRule="auto"/>
              <w:rPr>
                <w:rFonts w:ascii="Calibri" w:eastAsia="Times New Roman" w:hAnsi="Calibri" w:cs="Calibri"/>
                <w:bCs/>
                <w:color w:val="000000"/>
                <w:sz w:val="20"/>
                <w:szCs w:val="20"/>
                <w:lang w:eastAsia="sk-SK"/>
              </w:rPr>
            </w:pPr>
            <w:r w:rsidRPr="00A91631">
              <w:rPr>
                <w:rFonts w:ascii="Calibri" w:eastAsia="Times New Roman" w:hAnsi="Calibri" w:cs="Calibri"/>
                <w:bCs/>
                <w:color w:val="000000"/>
                <w:sz w:val="20"/>
                <w:szCs w:val="20"/>
                <w:lang w:eastAsia="sk-SK"/>
              </w:rPr>
              <w:t>Umožní regiónom a obyvateľom riešiť sociálne, hospodárske a environmentálne dôsledky spôsobené transformáciou v rámci plnenia energetického a klimatického cieľa Únie do roku 2030 a dosahovania klimaticky neutrálneho hospodárstva Únie do roku 2050 na základe Parížskej dohody</w:t>
            </w:r>
          </w:p>
        </w:tc>
        <w:tc>
          <w:tcPr>
            <w:tcW w:w="596" w:type="dxa"/>
            <w:tcBorders>
              <w:top w:val="nil"/>
              <w:left w:val="nil"/>
              <w:bottom w:val="single" w:sz="8" w:space="0" w:color="auto"/>
              <w:right w:val="single" w:sz="4" w:space="0" w:color="auto"/>
            </w:tcBorders>
            <w:shd w:val="clear" w:color="auto" w:fill="auto"/>
            <w:vAlign w:val="center"/>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r w:rsidRPr="00041A92">
              <w:rPr>
                <w:rFonts w:ascii="Calibri" w:eastAsia="Times New Roman" w:hAnsi="Calibri" w:cs="Calibri"/>
                <w:b/>
                <w:bCs/>
                <w:color w:val="000000"/>
                <w:sz w:val="24"/>
                <w:szCs w:val="24"/>
                <w:lang w:eastAsia="sk-SK"/>
              </w:rPr>
              <w:t> </w:t>
            </w:r>
          </w:p>
        </w:tc>
        <w:tc>
          <w:tcPr>
            <w:tcW w:w="842" w:type="dxa"/>
            <w:tcBorders>
              <w:top w:val="nil"/>
              <w:left w:val="nil"/>
              <w:bottom w:val="single" w:sz="8"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8"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596" w:type="dxa"/>
            <w:tcBorders>
              <w:top w:val="nil"/>
              <w:left w:val="nil"/>
              <w:bottom w:val="single" w:sz="8"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701" w:type="dxa"/>
            <w:tcBorders>
              <w:top w:val="nil"/>
              <w:left w:val="nil"/>
              <w:bottom w:val="single" w:sz="8"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956" w:type="dxa"/>
            <w:gridSpan w:val="2"/>
            <w:tcBorders>
              <w:top w:val="nil"/>
              <w:left w:val="nil"/>
              <w:bottom w:val="single" w:sz="8"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1031" w:type="dxa"/>
            <w:tcBorders>
              <w:top w:val="nil"/>
              <w:left w:val="nil"/>
              <w:bottom w:val="single" w:sz="8"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109" w:type="dxa"/>
            <w:tcBorders>
              <w:top w:val="nil"/>
              <w:left w:val="nil"/>
              <w:bottom w:val="single" w:sz="8"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1273" w:type="dxa"/>
            <w:tcBorders>
              <w:top w:val="nil"/>
              <w:left w:val="nil"/>
              <w:bottom w:val="single" w:sz="8"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p>
        </w:tc>
        <w:tc>
          <w:tcPr>
            <w:tcW w:w="612" w:type="dxa"/>
            <w:tcBorders>
              <w:top w:val="nil"/>
              <w:left w:val="nil"/>
              <w:bottom w:val="single" w:sz="8" w:space="0" w:color="auto"/>
              <w:right w:val="single" w:sz="4" w:space="0" w:color="auto"/>
            </w:tcBorders>
            <w:shd w:val="clear" w:color="auto" w:fill="auto"/>
            <w:vAlign w:val="center"/>
            <w:hideMark/>
          </w:tcPr>
          <w:p w:rsidR="00B14012" w:rsidRPr="007201CD" w:rsidRDefault="004C0501" w:rsidP="00412545">
            <w:pPr>
              <w:spacing w:after="0" w:line="240" w:lineRule="auto"/>
              <w:jc w:val="center"/>
              <w:rPr>
                <w:rFonts w:ascii="Calibri" w:eastAsia="Times New Roman" w:hAnsi="Calibri" w:cs="Calibri"/>
                <w:bCs/>
                <w:color w:val="000000"/>
                <w:sz w:val="18"/>
                <w:szCs w:val="18"/>
                <w:lang w:eastAsia="sk-SK"/>
              </w:rPr>
            </w:pPr>
            <w:r>
              <w:rPr>
                <w:rFonts w:ascii="Calibri" w:eastAsia="Times New Roman" w:hAnsi="Calibri" w:cs="Calibri"/>
                <w:bCs/>
                <w:color w:val="000000"/>
                <w:sz w:val="18"/>
                <w:szCs w:val="18"/>
                <w:lang w:eastAsia="sk-SK"/>
              </w:rPr>
              <w:t>X</w:t>
            </w:r>
          </w:p>
        </w:tc>
        <w:tc>
          <w:tcPr>
            <w:tcW w:w="1412" w:type="dxa"/>
            <w:tcBorders>
              <w:top w:val="nil"/>
              <w:left w:val="nil"/>
              <w:bottom w:val="single" w:sz="8" w:space="0" w:color="auto"/>
              <w:right w:val="single" w:sz="4" w:space="0" w:color="auto"/>
            </w:tcBorders>
            <w:shd w:val="clear" w:color="auto" w:fill="auto"/>
            <w:vAlign w:val="center"/>
            <w:hideMark/>
          </w:tcPr>
          <w:p w:rsidR="00B14012" w:rsidRPr="007201CD" w:rsidRDefault="00B14012" w:rsidP="00412545">
            <w:pPr>
              <w:spacing w:after="0" w:line="240" w:lineRule="auto"/>
              <w:jc w:val="center"/>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X</w:t>
            </w:r>
          </w:p>
        </w:tc>
        <w:tc>
          <w:tcPr>
            <w:tcW w:w="933" w:type="dxa"/>
            <w:tcBorders>
              <w:top w:val="nil"/>
              <w:left w:val="nil"/>
              <w:bottom w:val="single" w:sz="8" w:space="0" w:color="auto"/>
              <w:right w:val="single" w:sz="4"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1228" w:type="dxa"/>
            <w:tcBorders>
              <w:top w:val="nil"/>
              <w:left w:val="nil"/>
              <w:bottom w:val="single" w:sz="8" w:space="0" w:color="auto"/>
              <w:right w:val="single" w:sz="8" w:space="0" w:color="auto"/>
            </w:tcBorders>
            <w:shd w:val="clear" w:color="auto" w:fill="auto"/>
            <w:vAlign w:val="center"/>
            <w:hideMark/>
          </w:tcPr>
          <w:p w:rsidR="00B14012" w:rsidRPr="007201CD" w:rsidRDefault="00B14012" w:rsidP="00412545">
            <w:pPr>
              <w:spacing w:after="0" w:line="240" w:lineRule="auto"/>
              <w:rPr>
                <w:rFonts w:ascii="Calibri" w:eastAsia="Times New Roman" w:hAnsi="Calibri" w:cs="Calibri"/>
                <w:bCs/>
                <w:color w:val="000000"/>
                <w:sz w:val="18"/>
                <w:szCs w:val="18"/>
                <w:lang w:eastAsia="sk-SK"/>
              </w:rPr>
            </w:pPr>
            <w:r w:rsidRPr="007201CD">
              <w:rPr>
                <w:rFonts w:ascii="Calibri" w:eastAsia="Times New Roman" w:hAnsi="Calibri" w:cs="Calibri"/>
                <w:bCs/>
                <w:color w:val="000000"/>
                <w:sz w:val="18"/>
                <w:szCs w:val="18"/>
                <w:lang w:eastAsia="sk-SK"/>
              </w:rPr>
              <w:t> </w:t>
            </w:r>
          </w:p>
        </w:tc>
        <w:tc>
          <w:tcPr>
            <w:tcW w:w="425"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Calibri" w:eastAsia="Times New Roman" w:hAnsi="Calibri" w:cs="Calibri"/>
                <w:b/>
                <w:bCs/>
                <w:color w:val="000000"/>
                <w:sz w:val="24"/>
                <w:szCs w:val="24"/>
                <w:lang w:eastAsia="sk-SK"/>
              </w:rPr>
            </w:pPr>
          </w:p>
        </w:tc>
        <w:tc>
          <w:tcPr>
            <w:tcW w:w="160"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88"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c>
          <w:tcPr>
            <w:tcW w:w="163" w:type="dxa"/>
            <w:tcBorders>
              <w:top w:val="nil"/>
              <w:left w:val="nil"/>
              <w:bottom w:val="nil"/>
              <w:right w:val="nil"/>
            </w:tcBorders>
            <w:shd w:val="clear" w:color="auto" w:fill="auto"/>
            <w:noWrap/>
            <w:vAlign w:val="bottom"/>
            <w:hideMark/>
          </w:tcPr>
          <w:p w:rsidR="00B14012" w:rsidRPr="00041A92" w:rsidRDefault="00B14012" w:rsidP="00412545">
            <w:pPr>
              <w:spacing w:after="0" w:line="240" w:lineRule="auto"/>
              <w:rPr>
                <w:rFonts w:ascii="Times New Roman" w:eastAsia="Times New Roman" w:hAnsi="Times New Roman" w:cs="Times New Roman"/>
                <w:sz w:val="20"/>
                <w:szCs w:val="20"/>
                <w:lang w:eastAsia="sk-SK"/>
              </w:rPr>
            </w:pPr>
          </w:p>
        </w:tc>
      </w:tr>
    </w:tbl>
    <w:p w:rsidR="00B14012" w:rsidRDefault="00B14012" w:rsidP="00B14012"/>
    <w:p w:rsidR="001413B9" w:rsidRPr="000C0B7D" w:rsidRDefault="001413B9" w:rsidP="007201CD">
      <w:pPr>
        <w:keepNext/>
        <w:rPr>
          <w:sz w:val="24"/>
          <w:szCs w:val="24"/>
        </w:rPr>
      </w:pPr>
      <w:r w:rsidRPr="000C0B7D">
        <w:rPr>
          <w:rFonts w:cstheme="minorHAnsi"/>
          <w:b/>
          <w:sz w:val="24"/>
          <w:szCs w:val="24"/>
        </w:rPr>
        <w:lastRenderedPageBreak/>
        <w:t>Cieľ politiky 2 Zelenšia, nízkouhlíková Európa</w:t>
      </w:r>
    </w:p>
    <w:p w:rsidR="005C34A3" w:rsidRDefault="001413B9" w:rsidP="00F25BEE">
      <w:pPr>
        <w:spacing w:after="0" w:line="240" w:lineRule="auto"/>
        <w:jc w:val="both"/>
        <w:rPr>
          <w:rFonts w:eastAsia="Times New Roman"/>
          <w:sz w:val="20"/>
        </w:rPr>
      </w:pPr>
      <w:r w:rsidRPr="005B272D">
        <w:rPr>
          <w:rFonts w:eastAsia="Times New Roman"/>
          <w:sz w:val="20"/>
        </w:rPr>
        <w:t xml:space="preserve">Okrem prostriedkov </w:t>
      </w:r>
      <w:r w:rsidRPr="007C6BFF">
        <w:rPr>
          <w:rFonts w:eastAsia="Times New Roman"/>
          <w:b/>
          <w:sz w:val="20"/>
          <w:u w:val="single"/>
        </w:rPr>
        <w:t>EFRR</w:t>
      </w:r>
      <w:r w:rsidRPr="005B272D">
        <w:rPr>
          <w:rFonts w:eastAsia="Times New Roman"/>
          <w:b/>
          <w:sz w:val="20"/>
        </w:rPr>
        <w:t xml:space="preserve"> </w:t>
      </w:r>
      <w:r w:rsidRPr="005B272D">
        <w:rPr>
          <w:rFonts w:eastAsia="Times New Roman"/>
          <w:sz w:val="20"/>
        </w:rPr>
        <w:t>budú</w:t>
      </w:r>
      <w:r w:rsidRPr="005B272D">
        <w:rPr>
          <w:rFonts w:eastAsia="Times New Roman"/>
          <w:b/>
          <w:sz w:val="20"/>
        </w:rPr>
        <w:t xml:space="preserve"> </w:t>
      </w:r>
      <w:r w:rsidRPr="005B272D">
        <w:rPr>
          <w:rFonts w:eastAsia="Times New Roman"/>
          <w:sz w:val="20"/>
        </w:rPr>
        <w:t>môcť</w:t>
      </w:r>
      <w:r w:rsidRPr="005B272D">
        <w:rPr>
          <w:rFonts w:eastAsia="Times New Roman"/>
          <w:b/>
          <w:sz w:val="20"/>
        </w:rPr>
        <w:t xml:space="preserve"> </w:t>
      </w:r>
      <w:r w:rsidRPr="005B272D">
        <w:rPr>
          <w:rFonts w:eastAsia="Times New Roman"/>
          <w:sz w:val="20"/>
        </w:rPr>
        <w:t xml:space="preserve">byť v rámci CP 2 komplementárne využívané aj zdroje </w:t>
      </w:r>
      <w:r w:rsidRPr="007C6BFF">
        <w:rPr>
          <w:rFonts w:eastAsia="Times New Roman"/>
          <w:b/>
          <w:sz w:val="20"/>
          <w:u w:val="single"/>
        </w:rPr>
        <w:t>KF</w:t>
      </w:r>
      <w:r w:rsidRPr="005B272D">
        <w:rPr>
          <w:rFonts w:eastAsia="Times New Roman"/>
          <w:sz w:val="20"/>
        </w:rPr>
        <w:t>, najmä v oblasti vodného hospodárstva, znižovania energetickej náročnosti budov, sanácie environmentálnych záťaží, adaptácie na zmenu klímy, ako aj ochrany prírody a podpory biodiverzity a revitalizácie zanedbaných a nevyužívaných území a udržateľnej mobility.</w:t>
      </w:r>
      <w:r w:rsidR="00281F50">
        <w:rPr>
          <w:rFonts w:eastAsia="Times New Roman"/>
          <w:sz w:val="20"/>
        </w:rPr>
        <w:t xml:space="preserve"> </w:t>
      </w:r>
      <w:r w:rsidRPr="005B272D">
        <w:rPr>
          <w:rFonts w:eastAsia="Times New Roman"/>
          <w:sz w:val="20"/>
        </w:rPr>
        <w:t>S cieľom súvisiacim s ochranou biodiverzity a s adaptáciou na zmeny klímy budú krajinné prvky zelenej a modrej infraštruktúry doplnkovo podporené aj z EFRR.</w:t>
      </w:r>
    </w:p>
    <w:p w:rsidR="005C34A3" w:rsidRDefault="005C34A3" w:rsidP="00F25BEE">
      <w:pPr>
        <w:spacing w:after="0" w:line="240" w:lineRule="auto"/>
        <w:jc w:val="both"/>
        <w:rPr>
          <w:rFonts w:eastAsia="Times New Roman"/>
          <w:sz w:val="20"/>
        </w:rPr>
      </w:pPr>
    </w:p>
    <w:p w:rsidR="005C34A3" w:rsidRPr="00F457A5" w:rsidRDefault="005C34A3" w:rsidP="005C34A3">
      <w:pPr>
        <w:shd w:val="clear" w:color="auto" w:fill="FFFFFF"/>
        <w:spacing w:line="240" w:lineRule="auto"/>
        <w:jc w:val="both"/>
        <w:rPr>
          <w:rFonts w:eastAsia="Times New Roman"/>
          <w:b/>
          <w:iCs/>
          <w:sz w:val="20"/>
          <w:u w:val="single"/>
        </w:rPr>
      </w:pPr>
      <w:r w:rsidRPr="00F457A5">
        <w:rPr>
          <w:rFonts w:eastAsia="Times New Roman"/>
          <w:b/>
          <w:iCs/>
          <w:sz w:val="20"/>
          <w:u w:val="single"/>
        </w:rPr>
        <w:t>Stratégia udržateľnej a inteligentnej mobility</w:t>
      </w:r>
    </w:p>
    <w:p w:rsidR="005C34A3" w:rsidRPr="00F457A5" w:rsidRDefault="005C34A3" w:rsidP="005C34A3">
      <w:pPr>
        <w:shd w:val="clear" w:color="auto" w:fill="FFFFFF"/>
        <w:spacing w:line="240" w:lineRule="auto"/>
        <w:jc w:val="both"/>
        <w:rPr>
          <w:rFonts w:eastAsia="Times New Roman"/>
          <w:iCs/>
          <w:sz w:val="20"/>
        </w:rPr>
      </w:pPr>
      <w:r w:rsidRPr="00F457A5">
        <w:rPr>
          <w:rFonts w:eastAsia="Times New Roman"/>
          <w:iCs/>
          <w:sz w:val="20"/>
        </w:rPr>
        <w:t>Stratégia udržateľnej a inteligentnej mobility je premietnutá v rámci jednotlivých špecifických cieľov PSK. Jedným z hlavných cieľov v PSK je presun časti výkonov z cestnej dopravy, najmä individuálnej automobilovej dopravy do oblasti verejnej osobnej doprave (VOD) a železničnej dopravy načo majú slúžiť aktivity stanovené v relevantných špecifických cieľoch PSK. Prostredníctvom implementácie týchto špecifických cieľov budú realizované opatrenia s cieľom podporiť rozvoj inteligentnej, bezpečnej a udržateľnej dopravy.</w:t>
      </w:r>
    </w:p>
    <w:p w:rsidR="005C34A3" w:rsidRPr="00F457A5" w:rsidRDefault="005C34A3" w:rsidP="005C34A3">
      <w:pPr>
        <w:shd w:val="clear" w:color="auto" w:fill="FFFFFF"/>
        <w:spacing w:line="240" w:lineRule="auto"/>
        <w:jc w:val="both"/>
        <w:rPr>
          <w:rFonts w:eastAsia="Times New Roman"/>
          <w:iCs/>
          <w:sz w:val="20"/>
        </w:rPr>
      </w:pPr>
      <w:r w:rsidRPr="00F457A5">
        <w:rPr>
          <w:rFonts w:eastAsia="Times New Roman"/>
          <w:iCs/>
          <w:sz w:val="20"/>
        </w:rPr>
        <w:t>V rámci Špecifického cieľa 2.8 VOD sú to predovšetkým aktivity systémovej podpory udržateľnej mestskej mobility vo veľkých sídelno-urbanistických aglomeráciách a prirodzených dopravno-gravitačných centrách. Podpora bude smerovaná na obnovu infraštruktúry najmä mestskej dráhovej dopravy (električkové a trolejbusové trate), nákupu mobilných prostriedkov VOD na alternatívne palivá na regionálnej úrovni ako aj v mestách a s tým súvisiace intervencie do infraštruktúry nabíjacích/čerpacích/plniacich staníc. Časť alokácie PSK je vyčlenená aj na zabezpečenie tarifných, informačných a dispečerských systémov VOD.</w:t>
      </w:r>
    </w:p>
    <w:p w:rsidR="00375557" w:rsidRDefault="00375557" w:rsidP="00F25BEE">
      <w:pPr>
        <w:spacing w:after="0" w:line="240" w:lineRule="auto"/>
        <w:jc w:val="both"/>
        <w:rPr>
          <w:rFonts w:eastAsia="Times New Roman"/>
          <w:sz w:val="20"/>
        </w:rPr>
      </w:pPr>
    </w:p>
    <w:p w:rsidR="006575B7" w:rsidRPr="00C54B4F" w:rsidRDefault="006575B7" w:rsidP="006575B7">
      <w:pPr>
        <w:jc w:val="both"/>
        <w:rPr>
          <w:b/>
          <w:u w:val="single"/>
        </w:rPr>
      </w:pPr>
      <w:r w:rsidRPr="00C54B4F">
        <w:rPr>
          <w:b/>
          <w:u w:val="single"/>
        </w:rPr>
        <w:t>Synergie s POO</w:t>
      </w:r>
    </w:p>
    <w:p w:rsidR="00375557" w:rsidRDefault="00855D52" w:rsidP="00855D52">
      <w:pPr>
        <w:spacing w:after="0" w:line="240" w:lineRule="auto"/>
        <w:jc w:val="both"/>
        <w:rPr>
          <w:rFonts w:eastAsia="Times New Roman"/>
          <w:sz w:val="20"/>
        </w:rPr>
      </w:pPr>
      <w:r w:rsidRPr="007B12E5">
        <w:rPr>
          <w:rFonts w:eastAsia="Times New Roman"/>
          <w:sz w:val="20"/>
        </w:rPr>
        <w:t>V </w:t>
      </w:r>
      <w:r w:rsidRPr="007B12E5">
        <w:rPr>
          <w:rFonts w:eastAsia="Times New Roman"/>
          <w:b/>
          <w:sz w:val="20"/>
        </w:rPr>
        <w:t>POO</w:t>
      </w:r>
      <w:r>
        <w:rPr>
          <w:rFonts w:eastAsia="Times New Roman"/>
          <w:sz w:val="20"/>
        </w:rPr>
        <w:t xml:space="preserve"> je identifikovaná synergia pre r</w:t>
      </w:r>
      <w:r w:rsidRPr="00476A98">
        <w:rPr>
          <w:rFonts w:eastAsia="Times New Roman"/>
          <w:sz w:val="20"/>
        </w:rPr>
        <w:t>odinné domy a využívané historické a pamiatkovo chránené verejné budovy</w:t>
      </w:r>
      <w:r>
        <w:rPr>
          <w:rFonts w:eastAsia="Times New Roman"/>
          <w:sz w:val="20"/>
        </w:rPr>
        <w:t xml:space="preserve">, </w:t>
      </w:r>
      <w:r w:rsidR="009724CA">
        <w:rPr>
          <w:rFonts w:eastAsia="Times New Roman"/>
          <w:sz w:val="20"/>
        </w:rPr>
        <w:t>a</w:t>
      </w:r>
      <w:r w:rsidRPr="00476A98">
        <w:rPr>
          <w:rFonts w:eastAsia="Times New Roman"/>
          <w:sz w:val="20"/>
        </w:rPr>
        <w:t xml:space="preserve"> v nich realizované opatrenia na zlepšenie energetickej </w:t>
      </w:r>
    </w:p>
    <w:p w:rsidR="00C83EFB" w:rsidRDefault="00855D52" w:rsidP="00C83EFB">
      <w:pPr>
        <w:spacing w:after="0" w:line="240" w:lineRule="auto"/>
        <w:jc w:val="both"/>
        <w:rPr>
          <w:rFonts w:eastAsia="Times New Roman"/>
          <w:sz w:val="20"/>
        </w:rPr>
      </w:pPr>
      <w:r w:rsidRPr="00476A98">
        <w:rPr>
          <w:rFonts w:eastAsia="Times New Roman"/>
          <w:sz w:val="20"/>
        </w:rPr>
        <w:t>hospodárnosti budov, pričom musí byť dosiahnuté minimálne 30% zníženie po</w:t>
      </w:r>
      <w:r w:rsidRPr="00071DF9">
        <w:rPr>
          <w:rFonts w:eastAsia="Times New Roman"/>
          <w:sz w:val="20"/>
        </w:rPr>
        <w:t xml:space="preserve">treby primárnej energie budovy. </w:t>
      </w:r>
      <w:r w:rsidR="00C83EFB" w:rsidRPr="007B12E5">
        <w:rPr>
          <w:rFonts w:eastAsia="Times New Roman"/>
          <w:sz w:val="20"/>
        </w:rPr>
        <w:t xml:space="preserve">Z </w:t>
      </w:r>
      <w:r w:rsidR="00C83EFB" w:rsidRPr="007B12E5">
        <w:rPr>
          <w:rFonts w:eastAsia="Times New Roman"/>
          <w:b/>
          <w:sz w:val="20"/>
        </w:rPr>
        <w:t>POO</w:t>
      </w:r>
      <w:r w:rsidR="00C83EFB">
        <w:rPr>
          <w:rFonts w:eastAsia="Times New Roman"/>
          <w:sz w:val="20"/>
        </w:rPr>
        <w:t xml:space="preserve"> budú podporované v rámci ostatných komponentov aj v</w:t>
      </w:r>
      <w:r w:rsidR="00C83EFB" w:rsidRPr="00476A98">
        <w:rPr>
          <w:rFonts w:eastAsia="Times New Roman"/>
          <w:sz w:val="20"/>
        </w:rPr>
        <w:t>erejné budovy</w:t>
      </w:r>
      <w:r w:rsidR="00C83EFB">
        <w:rPr>
          <w:rFonts w:eastAsia="Times New Roman"/>
          <w:sz w:val="20"/>
        </w:rPr>
        <w:t xml:space="preserve"> ako napr. investície do budov súdov (komponent 15), </w:t>
      </w:r>
      <w:r w:rsidR="00C83EFB" w:rsidRPr="007B12E5">
        <w:rPr>
          <w:rFonts w:eastAsia="Times New Roman"/>
          <w:sz w:val="20"/>
        </w:rPr>
        <w:t>modernizácia vybavenia vysokých škôl - modernizácia univerzitných kampusov za účelom zvýšenia energetickej efektívnosti vzdelávacích, výskumných, ale i ubytovacích kapacít (</w:t>
      </w:r>
      <w:r w:rsidR="00C83EFB">
        <w:rPr>
          <w:rFonts w:eastAsia="Times New Roman"/>
          <w:sz w:val="20"/>
        </w:rPr>
        <w:t>k</w:t>
      </w:r>
      <w:r w:rsidR="00C83EFB" w:rsidRPr="007B12E5">
        <w:rPr>
          <w:rFonts w:eastAsia="Times New Roman"/>
          <w:sz w:val="20"/>
        </w:rPr>
        <w:t>omponent 8)</w:t>
      </w:r>
      <w:r w:rsidR="00C83EFB">
        <w:rPr>
          <w:rFonts w:eastAsia="Times New Roman"/>
          <w:sz w:val="20"/>
        </w:rPr>
        <w:t xml:space="preserve">, </w:t>
      </w:r>
      <w:r w:rsidR="00C83EFB" w:rsidRPr="009868A8">
        <w:rPr>
          <w:rFonts w:eastAsia="Times New Roman"/>
          <w:sz w:val="20"/>
        </w:rPr>
        <w:t>p</w:t>
      </w:r>
      <w:r w:rsidR="00C83EFB" w:rsidRPr="007B12E5">
        <w:rPr>
          <w:rFonts w:eastAsia="Times New Roman"/>
          <w:sz w:val="20"/>
        </w:rPr>
        <w:t>ostupná obnova a modernizácia budov polície (komponent 16)</w:t>
      </w:r>
      <w:r w:rsidR="00C83EFB">
        <w:rPr>
          <w:rFonts w:eastAsia="Times New Roman"/>
          <w:sz w:val="20"/>
        </w:rPr>
        <w:t xml:space="preserve"> a hasičských staníc (komponent 16)</w:t>
      </w:r>
      <w:r w:rsidR="00C83EFB" w:rsidRPr="00476A98">
        <w:rPr>
          <w:rFonts w:eastAsia="Times New Roman"/>
          <w:sz w:val="20"/>
        </w:rPr>
        <w:t>,</w:t>
      </w:r>
      <w:r w:rsidR="00C83EFB" w:rsidRPr="007B12E5">
        <w:rPr>
          <w:rFonts w:eastAsia="Times New Roman"/>
          <w:sz w:val="20"/>
        </w:rPr>
        <w:t xml:space="preserve"> výstavba a obnova staníc záchrannej zdravotnej služby (</w:t>
      </w:r>
      <w:r w:rsidR="00C83EFB">
        <w:rPr>
          <w:rFonts w:eastAsia="Times New Roman"/>
          <w:sz w:val="20"/>
        </w:rPr>
        <w:t>k</w:t>
      </w:r>
      <w:r w:rsidR="00C83EFB" w:rsidRPr="007B12E5">
        <w:rPr>
          <w:rFonts w:eastAsia="Times New Roman"/>
          <w:sz w:val="20"/>
        </w:rPr>
        <w:t>omponent 11)</w:t>
      </w:r>
      <w:r w:rsidR="00C83EFB">
        <w:rPr>
          <w:rFonts w:eastAsia="Times New Roman"/>
          <w:sz w:val="20"/>
        </w:rPr>
        <w:t>.</w:t>
      </w:r>
    </w:p>
    <w:p w:rsidR="00855D52" w:rsidRDefault="009868A8" w:rsidP="00855D52">
      <w:pPr>
        <w:spacing w:after="0" w:line="240" w:lineRule="auto"/>
        <w:jc w:val="both"/>
        <w:rPr>
          <w:rFonts w:eastAsia="Times New Roman"/>
          <w:sz w:val="20"/>
        </w:rPr>
      </w:pPr>
      <w:r>
        <w:rPr>
          <w:rFonts w:eastAsia="Times New Roman"/>
          <w:sz w:val="20"/>
        </w:rPr>
        <w:t>B</w:t>
      </w:r>
      <w:r w:rsidR="00855D52" w:rsidRPr="00476A98">
        <w:rPr>
          <w:rFonts w:eastAsia="Times New Roman"/>
          <w:sz w:val="20"/>
        </w:rPr>
        <w:t xml:space="preserve">ytové domy a národné kultúrne pamiatky, historické a pamiatkové objekty ako aj nevyužívané priestory, pamätníky, verejné priestranstvá a vytváranie turistickej ponuky budú podporované </w:t>
      </w:r>
      <w:r w:rsidR="00855D52">
        <w:rPr>
          <w:rFonts w:eastAsia="Times New Roman"/>
          <w:sz w:val="20"/>
        </w:rPr>
        <w:t>z</w:t>
      </w:r>
      <w:r w:rsidR="00855D52" w:rsidRPr="007B12E5">
        <w:rPr>
          <w:rFonts w:eastAsia="Times New Roman"/>
          <w:sz w:val="20"/>
        </w:rPr>
        <w:t xml:space="preserve"> </w:t>
      </w:r>
      <w:r w:rsidR="009724CA" w:rsidRPr="007B12E5">
        <w:rPr>
          <w:rFonts w:eastAsia="Times New Roman"/>
          <w:b/>
          <w:sz w:val="20"/>
        </w:rPr>
        <w:t>EFRR</w:t>
      </w:r>
      <w:r w:rsidR="00855D52" w:rsidRPr="00476A98">
        <w:rPr>
          <w:rFonts w:eastAsia="Times New Roman"/>
          <w:sz w:val="20"/>
        </w:rPr>
        <w:t>.</w:t>
      </w:r>
      <w:r w:rsidR="00855D52">
        <w:rPr>
          <w:rFonts w:eastAsia="Times New Roman"/>
          <w:sz w:val="20"/>
        </w:rPr>
        <w:t xml:space="preserve"> </w:t>
      </w:r>
    </w:p>
    <w:p w:rsidR="00855D52" w:rsidRDefault="00855D52" w:rsidP="00855D52">
      <w:pPr>
        <w:spacing w:after="0" w:line="240" w:lineRule="auto"/>
        <w:jc w:val="both"/>
        <w:rPr>
          <w:rFonts w:eastAsia="Times New Roman"/>
          <w:sz w:val="20"/>
        </w:rPr>
      </w:pPr>
    </w:p>
    <w:p w:rsidR="00855D52" w:rsidRDefault="00855D52" w:rsidP="00855D52">
      <w:pPr>
        <w:spacing w:after="0" w:line="240" w:lineRule="auto"/>
        <w:jc w:val="both"/>
        <w:rPr>
          <w:rFonts w:eastAsia="Times New Roman"/>
          <w:sz w:val="20"/>
        </w:rPr>
      </w:pPr>
      <w:r>
        <w:rPr>
          <w:rFonts w:eastAsia="Times New Roman"/>
          <w:sz w:val="20"/>
        </w:rPr>
        <w:t xml:space="preserve">V rámci podpory využívania OZE v domácnostiach je v rámci </w:t>
      </w:r>
      <w:r w:rsidRPr="009724CA">
        <w:rPr>
          <w:rFonts w:eastAsia="Times New Roman"/>
          <w:b/>
          <w:sz w:val="20"/>
          <w:u w:val="single"/>
        </w:rPr>
        <w:t xml:space="preserve">POO </w:t>
      </w:r>
      <w:r w:rsidRPr="00476A98">
        <w:rPr>
          <w:rFonts w:eastAsia="Times New Roman"/>
          <w:sz w:val="20"/>
        </w:rPr>
        <w:t>p</w:t>
      </w:r>
      <w:r w:rsidR="009724CA">
        <w:rPr>
          <w:rFonts w:eastAsia="Times New Roman"/>
          <w:sz w:val="20"/>
        </w:rPr>
        <w:t>odmienkou poskytnutia podpory</w:t>
      </w:r>
      <w:r w:rsidRPr="00476A98">
        <w:rPr>
          <w:rFonts w:eastAsia="Times New Roman"/>
          <w:sz w:val="20"/>
        </w:rPr>
        <w:t xml:space="preserve"> realizácia iných opatrení ako len inštalácia </w:t>
      </w:r>
      <w:r w:rsidRPr="00914022">
        <w:rPr>
          <w:rFonts w:eastAsia="Times New Roman"/>
          <w:sz w:val="20"/>
        </w:rPr>
        <w:t>zariadenia</w:t>
      </w:r>
      <w:r w:rsidRPr="00476A98">
        <w:rPr>
          <w:rFonts w:eastAsia="Times New Roman"/>
          <w:sz w:val="20"/>
        </w:rPr>
        <w:t xml:space="preserve"> na využitie</w:t>
      </w:r>
      <w:r w:rsidR="009724CA">
        <w:rPr>
          <w:rFonts w:eastAsia="Times New Roman"/>
          <w:sz w:val="20"/>
        </w:rPr>
        <w:t xml:space="preserve"> obnoviteľných zdrojov energie</w:t>
      </w:r>
      <w:r>
        <w:rPr>
          <w:rFonts w:eastAsia="Times New Roman"/>
          <w:sz w:val="20"/>
        </w:rPr>
        <w:t xml:space="preserve">, z </w:t>
      </w:r>
      <w:r w:rsidR="009724CA" w:rsidRPr="009724CA">
        <w:rPr>
          <w:rFonts w:eastAsia="Times New Roman"/>
          <w:b/>
          <w:sz w:val="20"/>
          <w:u w:val="single"/>
        </w:rPr>
        <w:t>EFRR</w:t>
      </w:r>
      <w:r>
        <w:rPr>
          <w:rFonts w:eastAsia="Times New Roman"/>
          <w:sz w:val="20"/>
        </w:rPr>
        <w:t xml:space="preserve"> </w:t>
      </w:r>
      <w:r w:rsidRPr="009747BD">
        <w:rPr>
          <w:rFonts w:eastAsia="Times New Roman"/>
          <w:sz w:val="20"/>
        </w:rPr>
        <w:t>budú</w:t>
      </w:r>
      <w:r w:rsidRPr="00476A98">
        <w:rPr>
          <w:rFonts w:eastAsia="Times New Roman"/>
          <w:sz w:val="20"/>
        </w:rPr>
        <w:t xml:space="preserve"> podpor</w:t>
      </w:r>
      <w:r>
        <w:rPr>
          <w:rFonts w:eastAsia="Times New Roman"/>
          <w:sz w:val="20"/>
        </w:rPr>
        <w:t>ené</w:t>
      </w:r>
      <w:r w:rsidRPr="00476A98">
        <w:rPr>
          <w:rFonts w:eastAsia="Times New Roman"/>
          <w:sz w:val="20"/>
        </w:rPr>
        <w:t xml:space="preserve"> len </w:t>
      </w:r>
      <w:r w:rsidRPr="00914022">
        <w:rPr>
          <w:rFonts w:eastAsia="Times New Roman"/>
          <w:sz w:val="20"/>
        </w:rPr>
        <w:t>inštalácie</w:t>
      </w:r>
      <w:r w:rsidRPr="00476A98">
        <w:rPr>
          <w:rFonts w:eastAsia="Times New Roman"/>
          <w:sz w:val="20"/>
        </w:rPr>
        <w:t xml:space="preserve"> </w:t>
      </w:r>
      <w:r w:rsidRPr="00914022">
        <w:rPr>
          <w:rFonts w:eastAsia="Times New Roman"/>
          <w:sz w:val="20"/>
        </w:rPr>
        <w:t>zariadení</w:t>
      </w:r>
      <w:r w:rsidRPr="00476A98">
        <w:rPr>
          <w:rFonts w:eastAsia="Times New Roman"/>
          <w:sz w:val="20"/>
        </w:rPr>
        <w:t xml:space="preserve"> na využitie obnoviteľných zdrojov energie</w:t>
      </w:r>
      <w:r>
        <w:rPr>
          <w:rFonts w:eastAsia="Times New Roman"/>
          <w:sz w:val="20"/>
        </w:rPr>
        <w:t>.</w:t>
      </w:r>
    </w:p>
    <w:p w:rsidR="004010EB" w:rsidRDefault="004010EB" w:rsidP="004010EB">
      <w:pPr>
        <w:spacing w:line="240" w:lineRule="auto"/>
        <w:jc w:val="both"/>
        <w:rPr>
          <w:rFonts w:eastAsia="Times New Roman"/>
          <w:sz w:val="20"/>
        </w:rPr>
      </w:pPr>
    </w:p>
    <w:p w:rsidR="004010EB" w:rsidRDefault="004010EB" w:rsidP="007B12E5">
      <w:pPr>
        <w:spacing w:after="0" w:line="240" w:lineRule="auto"/>
        <w:jc w:val="both"/>
        <w:rPr>
          <w:rFonts w:eastAsia="Times New Roman"/>
          <w:sz w:val="20"/>
        </w:rPr>
      </w:pPr>
      <w:r w:rsidRPr="004010EB">
        <w:rPr>
          <w:rFonts w:eastAsia="Times New Roman"/>
          <w:sz w:val="20"/>
        </w:rPr>
        <w:t>Z </w:t>
      </w:r>
      <w:r w:rsidRPr="007B12E5">
        <w:rPr>
          <w:rFonts w:eastAsia="Times New Roman"/>
          <w:b/>
          <w:sz w:val="20"/>
          <w:u w:val="single"/>
        </w:rPr>
        <w:t>POO</w:t>
      </w:r>
      <w:r w:rsidRPr="004010EB">
        <w:rPr>
          <w:rFonts w:eastAsia="Times New Roman"/>
          <w:sz w:val="20"/>
        </w:rPr>
        <w:t xml:space="preserve"> sú</w:t>
      </w:r>
      <w:r w:rsidRPr="005B272D">
        <w:rPr>
          <w:rFonts w:eastAsia="Times New Roman"/>
          <w:sz w:val="20"/>
        </w:rPr>
        <w:t xml:space="preserve"> </w:t>
      </w:r>
      <w:r>
        <w:rPr>
          <w:rFonts w:eastAsia="Times New Roman"/>
          <w:sz w:val="20"/>
        </w:rPr>
        <w:t>synergie a komplementarity</w:t>
      </w:r>
      <w:r w:rsidRPr="005B272D">
        <w:rPr>
          <w:rFonts w:eastAsia="Times New Roman"/>
          <w:sz w:val="20"/>
        </w:rPr>
        <w:t xml:space="preserve"> indikované najmä v oblasti Zelenej ekonomiky. K investíciám Komponentu 1 „</w:t>
      </w:r>
      <w:r w:rsidRPr="007B12E5">
        <w:rPr>
          <w:rFonts w:eastAsia="Times New Roman"/>
          <w:sz w:val="20"/>
        </w:rPr>
        <w:t xml:space="preserve">Obnoviteľné zdroje energie a energetická infraštruktúra“ budú komplementárne prispievať najmä investície PD SR/Programu Slovensko zamerané na </w:t>
      </w:r>
      <w:r w:rsidRPr="005B272D">
        <w:rPr>
          <w:rFonts w:eastAsia="Times New Roman"/>
          <w:sz w:val="20"/>
        </w:rPr>
        <w:t>vyššiu mieru využívania OZE v podnikoch a domácnostiach; zvýšenie podielu OZE v individuálnom vykurovaní a chladení, zvýšenie využívania OZE v prostredí energetických spoločenstiev a aktívnych odberateľov a čiastočne tiež investície v oblasti vývoja inteligentných energetických systémov, sietí a uskladnenia mimo transeurópskej energetickej siete</w:t>
      </w:r>
      <w:r>
        <w:rPr>
          <w:rFonts w:eastAsia="Times New Roman"/>
          <w:sz w:val="20"/>
        </w:rPr>
        <w:t>.</w:t>
      </w:r>
    </w:p>
    <w:p w:rsidR="007B12E5" w:rsidRPr="007B12E5" w:rsidRDefault="007B12E5" w:rsidP="007B12E5">
      <w:pPr>
        <w:pStyle w:val="Normlnywebov"/>
        <w:jc w:val="both"/>
        <w:rPr>
          <w:rFonts w:asciiTheme="minorHAnsi" w:eastAsia="Times New Roman" w:hAnsiTheme="minorHAnsi" w:cstheme="minorBidi"/>
          <w:sz w:val="20"/>
          <w:szCs w:val="22"/>
          <w:lang w:eastAsia="en-US"/>
        </w:rPr>
      </w:pPr>
      <w:r w:rsidRPr="007B12E5">
        <w:rPr>
          <w:rFonts w:asciiTheme="minorHAnsi" w:eastAsia="Times New Roman" w:hAnsiTheme="minorHAnsi" w:cstheme="minorBidi"/>
          <w:sz w:val="20"/>
          <w:szCs w:val="22"/>
          <w:lang w:eastAsia="en-US"/>
        </w:rPr>
        <w:lastRenderedPageBreak/>
        <w:t xml:space="preserve">Z </w:t>
      </w:r>
      <w:r w:rsidRPr="007B12E5">
        <w:rPr>
          <w:rFonts w:asciiTheme="minorHAnsi" w:eastAsia="Times New Roman" w:hAnsiTheme="minorHAnsi" w:cstheme="minorBidi"/>
          <w:b/>
          <w:sz w:val="20"/>
          <w:szCs w:val="22"/>
          <w:u w:val="single"/>
          <w:lang w:eastAsia="en-US"/>
        </w:rPr>
        <w:t>POO</w:t>
      </w:r>
      <w:r w:rsidRPr="007B12E5">
        <w:rPr>
          <w:rFonts w:asciiTheme="minorHAnsi" w:eastAsia="Times New Roman" w:hAnsiTheme="minorHAnsi" w:cstheme="minorBidi"/>
          <w:sz w:val="20"/>
          <w:szCs w:val="22"/>
          <w:lang w:eastAsia="en-US"/>
        </w:rPr>
        <w:t xml:space="preserve"> budú synergicky a komplementárne podporené systémové opatrenia (nízkoemisné výrobné procesy) priemyselných podnikov a kompenzácia časti investičných nákladov potrebných na realizáciu opatrení prinášajúcich redukciu skleníkových plynov v podnikoch, ktoré ponúknu najnižšiu cenu za zníženie emisií. Z </w:t>
      </w:r>
      <w:r w:rsidRPr="007B12E5">
        <w:rPr>
          <w:rFonts w:asciiTheme="minorHAnsi" w:eastAsia="Times New Roman" w:hAnsiTheme="minorHAnsi" w:cstheme="minorBidi"/>
          <w:b/>
          <w:sz w:val="20"/>
          <w:szCs w:val="22"/>
          <w:u w:val="single"/>
          <w:lang w:eastAsia="en-US"/>
        </w:rPr>
        <w:t>EFRR</w:t>
      </w:r>
      <w:r w:rsidRPr="007B12E5">
        <w:rPr>
          <w:rFonts w:asciiTheme="minorHAnsi" w:eastAsia="Times New Roman" w:hAnsiTheme="minorHAnsi" w:cstheme="minorBidi"/>
          <w:sz w:val="20"/>
          <w:szCs w:val="22"/>
          <w:lang w:eastAsia="en-US"/>
        </w:rPr>
        <w:t xml:space="preserve"> sa podporia technické, technologické a ekonomické opatrenia na zníženie emisií znečisťujúcich látok do ovzdušia z veľkých a stredných stacionárnych zdrojov.</w:t>
      </w:r>
    </w:p>
    <w:p w:rsidR="00CA2CDD" w:rsidRDefault="004010EB" w:rsidP="00CA2CDD">
      <w:pPr>
        <w:spacing w:after="0" w:line="240" w:lineRule="auto"/>
        <w:jc w:val="both"/>
        <w:rPr>
          <w:rFonts w:eastAsia="Times New Roman"/>
          <w:sz w:val="20"/>
        </w:rPr>
      </w:pPr>
      <w:r>
        <w:rPr>
          <w:rFonts w:eastAsia="Times New Roman"/>
          <w:sz w:val="20"/>
        </w:rPr>
        <w:t xml:space="preserve">Z </w:t>
      </w:r>
      <w:r w:rsidRPr="004010EB">
        <w:rPr>
          <w:rFonts w:eastAsia="Times New Roman"/>
          <w:b/>
          <w:sz w:val="20"/>
          <w:u w:val="single"/>
        </w:rPr>
        <w:t>POO</w:t>
      </w:r>
      <w:r w:rsidRPr="005B272D">
        <w:rPr>
          <w:rFonts w:eastAsia="Times New Roman"/>
          <w:sz w:val="20"/>
        </w:rPr>
        <w:t xml:space="preserve"> smeruje investície do výstavby alebo modernizácie električkových alebo trolejbusových tratí a nákupu koľajových vozidiel verejnej osobnej dopravy (električiek) a podpory cyklistickej infraštruktúry. </w:t>
      </w:r>
      <w:r w:rsidR="002A75C6">
        <w:rPr>
          <w:rFonts w:eastAsia="Times New Roman"/>
          <w:sz w:val="20"/>
        </w:rPr>
        <w:t xml:space="preserve">Podpora bude aplikovaná v prípade, že implementácia iných komponentov, resp. investícií v komponente, nebude dosahovať požadovaný stav. </w:t>
      </w:r>
      <w:r w:rsidRPr="005B272D">
        <w:rPr>
          <w:rFonts w:eastAsia="Times New Roman"/>
          <w:sz w:val="20"/>
        </w:rPr>
        <w:t xml:space="preserve">V PD SR/Programe Slovensko je synergickou podpora </w:t>
      </w:r>
      <w:r w:rsidRPr="005B272D">
        <w:rPr>
          <w:rFonts w:eastAsia="Times New Roman"/>
          <w:bCs/>
          <w:sz w:val="20"/>
        </w:rPr>
        <w:t xml:space="preserve">udržateľnej multimodálnej mestskej mobility (aktivity špecifického cieľa 2.8). </w:t>
      </w:r>
      <w:r w:rsidRPr="005B272D">
        <w:rPr>
          <w:rFonts w:eastAsia="Times New Roman"/>
          <w:sz w:val="20"/>
        </w:rPr>
        <w:t xml:space="preserve">PD SR/Program Slovensko umožňuje podporu cyklodopravy mimo území podporovaných POO. </w:t>
      </w:r>
      <w:r w:rsidR="00CA2CDD">
        <w:rPr>
          <w:rFonts w:eastAsia="Times New Roman"/>
          <w:sz w:val="20"/>
        </w:rPr>
        <w:t>V rámci podpory cyklodopravy je z</w:t>
      </w:r>
      <w:r w:rsidR="00CA2CDD" w:rsidRPr="00CC4EFF">
        <w:rPr>
          <w:rFonts w:eastAsia="Times New Roman"/>
          <w:sz w:val="20"/>
        </w:rPr>
        <w:t xml:space="preserve">ákladnou deliacou líniou medzi </w:t>
      </w:r>
      <w:r w:rsidR="00CA2CDD" w:rsidRPr="009724CA">
        <w:rPr>
          <w:rFonts w:eastAsia="Times New Roman"/>
          <w:b/>
          <w:sz w:val="20"/>
          <w:u w:val="single"/>
        </w:rPr>
        <w:t>POO</w:t>
      </w:r>
      <w:r w:rsidR="00CA2CDD" w:rsidRPr="00CC4EFF">
        <w:rPr>
          <w:rFonts w:eastAsia="Times New Roman"/>
          <w:sz w:val="20"/>
        </w:rPr>
        <w:t xml:space="preserve"> a inými programami financovania v oblasti podpory budovani</w:t>
      </w:r>
      <w:r w:rsidR="00CA2CDD" w:rsidRPr="00880CF3">
        <w:rPr>
          <w:rFonts w:eastAsia="Times New Roman"/>
          <w:sz w:val="20"/>
        </w:rPr>
        <w:t>a cyklistickej infraštruktúry</w:t>
      </w:r>
      <w:r w:rsidR="00CA2CDD" w:rsidRPr="00CC4EFF">
        <w:rPr>
          <w:rFonts w:eastAsia="Times New Roman"/>
          <w:sz w:val="20"/>
        </w:rPr>
        <w:t xml:space="preserve"> územný princíp. V rámci POO sú prípustné projekty na území miest nad 20 tisíc obyvateľov s presahom do okolitých obcí do vzdialenosti cca 5 km, resp. po najbližšiu obec.</w:t>
      </w:r>
      <w:r w:rsidR="00CA2CDD" w:rsidRPr="004D35E4">
        <w:rPr>
          <w:rFonts w:eastAsia="Times New Roman"/>
          <w:sz w:val="20"/>
        </w:rPr>
        <w:t xml:space="preserve"> </w:t>
      </w:r>
    </w:p>
    <w:p w:rsidR="00CA2CDD" w:rsidRDefault="00CA2CDD" w:rsidP="00CA2CDD">
      <w:pPr>
        <w:spacing w:after="0" w:line="240" w:lineRule="auto"/>
        <w:jc w:val="both"/>
        <w:rPr>
          <w:rFonts w:eastAsia="Times New Roman"/>
          <w:sz w:val="20"/>
        </w:rPr>
      </w:pPr>
    </w:p>
    <w:p w:rsidR="00CA2CDD" w:rsidRPr="004D35E4" w:rsidRDefault="00CA2CDD" w:rsidP="00CA2CDD">
      <w:pPr>
        <w:jc w:val="both"/>
        <w:rPr>
          <w:rFonts w:eastAsia="Times New Roman"/>
          <w:sz w:val="20"/>
        </w:rPr>
      </w:pPr>
      <w:r w:rsidRPr="00267209">
        <w:rPr>
          <w:rFonts w:eastAsia="Times New Roman"/>
          <w:sz w:val="20"/>
        </w:rPr>
        <w:t xml:space="preserve">Z </w:t>
      </w:r>
      <w:r w:rsidRPr="007C6BFF">
        <w:rPr>
          <w:rFonts w:eastAsia="Times New Roman"/>
          <w:b/>
          <w:sz w:val="20"/>
          <w:u w:val="single"/>
        </w:rPr>
        <w:t>EFRR</w:t>
      </w:r>
      <w:r w:rsidRPr="00267209">
        <w:rPr>
          <w:rFonts w:eastAsia="Times New Roman"/>
          <w:sz w:val="20"/>
        </w:rPr>
        <w:t xml:space="preserve"> sa predpokladá realizácia všetkých ostatných typov cyklodopravných projektov, mimo tých, definovaných v POO (počas trvania POO). </w:t>
      </w:r>
      <w:r w:rsidRPr="004D35E4">
        <w:rPr>
          <w:rFonts w:eastAsia="Times New Roman"/>
          <w:b/>
          <w:sz w:val="20"/>
          <w:u w:val="single"/>
        </w:rPr>
        <w:t>Z POO</w:t>
      </w:r>
      <w:r>
        <w:rPr>
          <w:rFonts w:eastAsia="Times New Roman"/>
          <w:sz w:val="20"/>
        </w:rPr>
        <w:t xml:space="preserve"> sa podporí r</w:t>
      </w:r>
      <w:r w:rsidRPr="004D35E4">
        <w:rPr>
          <w:rFonts w:eastAsia="Times New Roman"/>
          <w:sz w:val="20"/>
        </w:rPr>
        <w:t>ozvoj infraštruktúry nízkouhlíkovej dopravy (podpora cyklistickej infraštruktúry - nové trasy a cyklistické stojany na železničných zastávkach, staniciach) - prípustné budú projekty v mestách s počtom nad 20 tisíc obyvateľov, s prípadným presahom do cca 5 km mimo mesta, resp. po najbližšiu obec, so zámerom zvýšenia podielu cyklistickej dopravy na celkovej deľbe prepravnej práce. Z </w:t>
      </w:r>
      <w:r w:rsidRPr="004D35E4">
        <w:rPr>
          <w:rFonts w:eastAsia="Times New Roman"/>
          <w:b/>
          <w:sz w:val="20"/>
          <w:u w:val="single"/>
        </w:rPr>
        <w:t>EFRR</w:t>
      </w:r>
      <w:r w:rsidRPr="004D35E4">
        <w:rPr>
          <w:rFonts w:eastAsia="Times New Roman"/>
          <w:sz w:val="20"/>
        </w:rPr>
        <w:t xml:space="preserve"> sa podporí</w:t>
      </w:r>
      <w:r>
        <w:rPr>
          <w:rFonts w:eastAsia="Times New Roman"/>
          <w:sz w:val="20"/>
        </w:rPr>
        <w:t xml:space="preserve"> cyklistická doprava</w:t>
      </w:r>
      <w:r w:rsidRPr="004D35E4">
        <w:rPr>
          <w:rFonts w:eastAsia="Times New Roman"/>
          <w:sz w:val="20"/>
        </w:rPr>
        <w:t xml:space="preserve"> vo </w:t>
      </w:r>
      <w:r>
        <w:rPr>
          <w:rFonts w:eastAsia="Times New Roman"/>
          <w:sz w:val="20"/>
        </w:rPr>
        <w:t>v</w:t>
      </w:r>
      <w:r w:rsidRPr="004D35E4">
        <w:rPr>
          <w:rFonts w:eastAsia="Times New Roman"/>
          <w:sz w:val="20"/>
        </w:rPr>
        <w:t>yšších územných celkoch, mestách a obciach mimo celkov územného mestského rozvoja, počas trvania POO sú povolené všetky typy projektov okrem špecifikácie uvedenej pre POO - modernizácia siete chodníkov, cyklistických komunikácií, cyklopruhov, bikesharing, cyklostojany.</w:t>
      </w:r>
    </w:p>
    <w:p w:rsidR="00855D52" w:rsidRDefault="00855D52" w:rsidP="00CA2CDD">
      <w:pPr>
        <w:spacing w:after="0" w:line="240" w:lineRule="auto"/>
        <w:jc w:val="both"/>
        <w:rPr>
          <w:rFonts w:eastAsia="Times New Roman"/>
          <w:sz w:val="20"/>
        </w:rPr>
      </w:pPr>
      <w:r>
        <w:rPr>
          <w:rFonts w:eastAsia="Times New Roman"/>
          <w:sz w:val="20"/>
        </w:rPr>
        <w:t>Z </w:t>
      </w:r>
      <w:r w:rsidRPr="009724CA">
        <w:rPr>
          <w:rFonts w:eastAsia="Times New Roman"/>
          <w:b/>
          <w:sz w:val="20"/>
          <w:u w:val="single"/>
        </w:rPr>
        <w:t>POO</w:t>
      </w:r>
      <w:r>
        <w:rPr>
          <w:rFonts w:eastAsia="Times New Roman"/>
          <w:sz w:val="20"/>
        </w:rPr>
        <w:t xml:space="preserve"> je identifikovaná synergia </w:t>
      </w:r>
      <w:r w:rsidR="009724CA" w:rsidRPr="009724CA">
        <w:rPr>
          <w:rFonts w:eastAsia="Times New Roman"/>
          <w:b/>
          <w:sz w:val="20"/>
          <w:u w:val="single"/>
        </w:rPr>
        <w:t>s EFRR</w:t>
      </w:r>
      <w:r w:rsidR="009724CA">
        <w:rPr>
          <w:rFonts w:eastAsia="Times New Roman"/>
          <w:sz w:val="20"/>
        </w:rPr>
        <w:t xml:space="preserve"> </w:t>
      </w:r>
      <w:r>
        <w:rPr>
          <w:rFonts w:eastAsia="Times New Roman"/>
          <w:sz w:val="20"/>
        </w:rPr>
        <w:t>v oblasti t</w:t>
      </w:r>
      <w:r w:rsidRPr="00CC4EFF">
        <w:rPr>
          <w:rFonts w:eastAsia="Times New Roman"/>
          <w:sz w:val="20"/>
        </w:rPr>
        <w:t>arifnej integrácie, výstavby alebo modernizácie električkových alebo trolejbusových tratí, nákup koľajových vozidiel verejnej osobnej dopravy (električiek), podpora multimodálnej mestskej mobility vo veľkých sídelno-urbanistických aglomeráciách, výstavby a modernizácia infraštruktúry integrovaného dopravného systému, obnova mobilných prostriedkov dráhovej mestskej</w:t>
      </w:r>
      <w:r>
        <w:rPr>
          <w:rFonts w:eastAsia="Times New Roman"/>
          <w:sz w:val="20"/>
        </w:rPr>
        <w:t xml:space="preserve"> </w:t>
      </w:r>
      <w:r w:rsidRPr="00CC4EFF">
        <w:rPr>
          <w:rFonts w:eastAsia="Times New Roman"/>
          <w:sz w:val="20"/>
        </w:rPr>
        <w:t>hromadnej dopravy v Bratislave, Košiciach, Prešove, Žiline, Banskej Bystrici</w:t>
      </w:r>
      <w:r w:rsidR="0096385D">
        <w:rPr>
          <w:rFonts w:eastAsia="Times New Roman"/>
          <w:sz w:val="20"/>
        </w:rPr>
        <w:t xml:space="preserve"> a </w:t>
      </w:r>
      <w:r w:rsidRPr="00CC4EFF">
        <w:rPr>
          <w:rFonts w:eastAsia="Times New Roman"/>
          <w:sz w:val="20"/>
        </w:rPr>
        <w:t>rozvoj infraštruktúry nabíjacích/čerpacích/plniacich staníc</w:t>
      </w:r>
      <w:r w:rsidR="00E34A6F">
        <w:rPr>
          <w:rFonts w:eastAsia="Times New Roman"/>
          <w:sz w:val="20"/>
        </w:rPr>
        <w:t xml:space="preserve"> ako doplnková aktivita k nákupu ekologických vozidiel verejnej osobnej dopravy</w:t>
      </w:r>
      <w:r w:rsidRPr="00CC4EFF">
        <w:rPr>
          <w:rFonts w:eastAsia="Times New Roman"/>
          <w:sz w:val="20"/>
        </w:rPr>
        <w:t xml:space="preserve">. </w:t>
      </w:r>
    </w:p>
    <w:p w:rsidR="004D35E4" w:rsidRDefault="004D35E4" w:rsidP="00CA2CDD">
      <w:pPr>
        <w:spacing w:after="0" w:line="240" w:lineRule="auto"/>
        <w:jc w:val="both"/>
        <w:rPr>
          <w:rFonts w:eastAsia="Times New Roman"/>
          <w:sz w:val="20"/>
        </w:rPr>
      </w:pPr>
    </w:p>
    <w:p w:rsidR="00761835" w:rsidRPr="00F2510B" w:rsidRDefault="00761835" w:rsidP="00761835">
      <w:pPr>
        <w:spacing w:after="0" w:line="240" w:lineRule="auto"/>
        <w:jc w:val="both"/>
        <w:rPr>
          <w:rFonts w:eastAsia="Times New Roman"/>
          <w:sz w:val="20"/>
        </w:rPr>
      </w:pPr>
      <w:r w:rsidRPr="00F2510B">
        <w:rPr>
          <w:rFonts w:eastAsia="Times New Roman"/>
          <w:b/>
          <w:sz w:val="20"/>
          <w:u w:val="single"/>
        </w:rPr>
        <w:t>V POO,</w:t>
      </w:r>
      <w:r w:rsidRPr="00F2510B">
        <w:rPr>
          <w:rFonts w:eastAsia="Times New Roman"/>
          <w:sz w:val="20"/>
        </w:rPr>
        <w:t xml:space="preserve"> v rámci Komponentu 5, je dôraz </w:t>
      </w:r>
      <w:r w:rsidRPr="00F2510B">
        <w:rPr>
          <w:rFonts w:eastAsia="Times New Roman"/>
          <w:b/>
          <w:sz w:val="20"/>
        </w:rPr>
        <w:t>na ochranu prírody a rozvoj biodiverzity</w:t>
      </w:r>
      <w:r w:rsidRPr="00F2510B">
        <w:rPr>
          <w:rFonts w:eastAsia="Times New Roman"/>
          <w:sz w:val="20"/>
        </w:rPr>
        <w:t xml:space="preserve">. Cieľom investícií bude ochranou ekosystémov zabezpečiť dlhodobo udržateľný príspevok ekosystémov k adaptácii na zmenu klímy a zmiernenie jej dôsledkov. Reforma hospodárenia s vodou v krajine navrhnutá v rámci POO sa zameriava na legislatívne a normatívne zmeny (pozn. v rámci POO nebudú realizované vodozádržné opatrenia). Z POO bude podporená revitalizácia vodných tokov s cieľom obnovy prirodzených funkcií toku vrátane obnovy a zachovania biodiverzity riečneho ekosystému. </w:t>
      </w:r>
    </w:p>
    <w:p w:rsidR="00761835" w:rsidRPr="0002319F" w:rsidRDefault="00761835" w:rsidP="00761835">
      <w:pPr>
        <w:spacing w:after="0" w:line="240" w:lineRule="auto"/>
        <w:jc w:val="both"/>
        <w:rPr>
          <w:rFonts w:eastAsia="Times New Roman"/>
          <w:sz w:val="20"/>
          <w:highlight w:val="yellow"/>
        </w:rPr>
      </w:pPr>
      <w:r w:rsidRPr="00F2510B">
        <w:rPr>
          <w:rFonts w:eastAsia="Times New Roman"/>
          <w:sz w:val="20"/>
        </w:rPr>
        <w:t xml:space="preserve">V rámci Programu Slovensko oblasti posilnenia ochrany a zachovania prírody, biodiverzity a zelenej infraštruktúry budú realizované projekty revitalizácií tokov v povodiach riek Hornád, Ipeľ, Nitra, Slaná, Malý Dunaj a v rámci POO SR budú realizované projekty revitalizácií tokov v povodiach riek Bodrog, Dunaj, Hron, Morava, Váh. </w:t>
      </w:r>
    </w:p>
    <w:p w:rsidR="00855D52" w:rsidRPr="00C83EFB" w:rsidRDefault="00855D52" w:rsidP="00855D52">
      <w:pPr>
        <w:spacing w:after="0" w:line="240" w:lineRule="auto"/>
        <w:jc w:val="both"/>
        <w:rPr>
          <w:rFonts w:eastAsia="Times New Roman"/>
          <w:sz w:val="20"/>
          <w:highlight w:val="yellow"/>
        </w:rPr>
      </w:pPr>
    </w:p>
    <w:p w:rsidR="00FA1A54" w:rsidRPr="00FA1A54" w:rsidRDefault="009724CA" w:rsidP="00D2087C">
      <w:pPr>
        <w:spacing w:after="0" w:line="240" w:lineRule="auto"/>
        <w:jc w:val="both"/>
        <w:rPr>
          <w:rFonts w:eastAsia="Times New Roman"/>
          <w:sz w:val="20"/>
        </w:rPr>
      </w:pPr>
      <w:r w:rsidRPr="00FA1A54">
        <w:rPr>
          <w:rFonts w:eastAsia="Times New Roman"/>
          <w:sz w:val="20"/>
        </w:rPr>
        <w:t>V</w:t>
      </w:r>
      <w:r w:rsidR="00855D52" w:rsidRPr="00FA1A54">
        <w:rPr>
          <w:rFonts w:eastAsia="Times New Roman"/>
          <w:sz w:val="20"/>
        </w:rPr>
        <w:t xml:space="preserve"> </w:t>
      </w:r>
      <w:r w:rsidR="00855D52" w:rsidRPr="00FA1A54">
        <w:rPr>
          <w:rFonts w:eastAsia="Times New Roman"/>
          <w:b/>
          <w:sz w:val="20"/>
          <w:u w:val="single"/>
        </w:rPr>
        <w:t>POO</w:t>
      </w:r>
      <w:r w:rsidR="00855D52" w:rsidRPr="00FA1A54">
        <w:rPr>
          <w:rFonts w:eastAsia="Times New Roman"/>
          <w:sz w:val="20"/>
        </w:rPr>
        <w:t xml:space="preserve"> je podpora renaturácie vodných tokov a mokradí, výkup pozemkov v chránených územiach (rozširovanie bezzásahových zón) a podpora pilotných projektov mäkkého turizmu zamerané na transformáciu regiónov NP Muránska Planina a NP Poloniny. Výdavky na výkup pozemkov v chránených územiach za účelom realizácie ich ochrany nebudú v rámci Partnerskej dohody SR / Programu Slovensko oprávnené do termínu ukončenia realizácie Plánu obnovy a odolnosti SR , t. j. do konca roka 2026, alebo do termínu vyčerpania zdrojov alokovaných na výkupy pozemkov v chránených územiach v rámci Plánu obnovy a odolnosti SR, v závislosti od toho, ktorý z uvedených termínov nastane skôr. V uvedenom období budú v rámci realizácie opatrení vyplývajúcich z programov starostlivosti o chránené územia oprávnené na financovanie z fondov EÚ v rámci Partnerskej dohody SR iba výdavky na nákup pozemkov vzťahujúcich sa k budovám a ich areálom.</w:t>
      </w:r>
    </w:p>
    <w:p w:rsidR="00D2087C" w:rsidRDefault="00D2087C" w:rsidP="00D2087C">
      <w:pPr>
        <w:spacing w:after="0" w:line="240" w:lineRule="auto"/>
        <w:jc w:val="both"/>
        <w:rPr>
          <w:rFonts w:eastAsia="Times New Roman"/>
          <w:sz w:val="20"/>
        </w:rPr>
      </w:pPr>
    </w:p>
    <w:p w:rsidR="006575B7" w:rsidRPr="00C54B4F" w:rsidRDefault="006575B7" w:rsidP="002F51E1">
      <w:pPr>
        <w:jc w:val="both"/>
        <w:rPr>
          <w:b/>
          <w:u w:val="single"/>
        </w:rPr>
      </w:pPr>
      <w:r w:rsidRPr="00C54B4F">
        <w:rPr>
          <w:b/>
          <w:u w:val="single"/>
        </w:rPr>
        <w:t>Synergie s FST</w:t>
      </w:r>
    </w:p>
    <w:p w:rsidR="004C0501" w:rsidRPr="00060429" w:rsidRDefault="004C0501" w:rsidP="004C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 w:val="20"/>
        </w:rPr>
      </w:pPr>
      <w:r w:rsidRPr="00E503CF">
        <w:rPr>
          <w:rFonts w:eastAsia="Times New Roman"/>
          <w:sz w:val="20"/>
        </w:rPr>
        <w:t xml:space="preserve">Intervencie z </w:t>
      </w:r>
      <w:r w:rsidRPr="009B10DA">
        <w:rPr>
          <w:rFonts w:eastAsia="Times New Roman"/>
          <w:b/>
          <w:sz w:val="20"/>
          <w:u w:val="single"/>
        </w:rPr>
        <w:t>FST</w:t>
      </w:r>
      <w:r w:rsidRPr="00E503CF">
        <w:rPr>
          <w:rFonts w:eastAsia="Times New Roman"/>
          <w:sz w:val="20"/>
        </w:rPr>
        <w:t xml:space="preserve"> a ich územné zacielenie sú vymedzené v PST, pričom budú synergicky a komplementárne podporovať investície prispievajúce k prechodu na zelenšie, nízkouhlíkové hospodárstvo v rámci CP 2. Špecificky bude podpora z FST</w:t>
      </w:r>
      <w:r w:rsidRPr="002014B7">
        <w:rPr>
          <w:rFonts w:eastAsia="Times New Roman"/>
          <w:sz w:val="20"/>
        </w:rPr>
        <w:t xml:space="preserve"> na</w:t>
      </w:r>
      <w:r w:rsidRPr="00060429">
        <w:rPr>
          <w:rFonts w:eastAsia="Times New Roman"/>
          <w:sz w:val="20"/>
        </w:rPr>
        <w:t> opr</w:t>
      </w:r>
      <w:r w:rsidRPr="002C2D4A">
        <w:rPr>
          <w:rFonts w:eastAsia="Times New Roman"/>
          <w:sz w:val="20"/>
        </w:rPr>
        <w:t>ávnenom územ</w:t>
      </w:r>
      <w:r w:rsidRPr="003B1917">
        <w:rPr>
          <w:rFonts w:eastAsia="Times New Roman"/>
          <w:sz w:val="20"/>
        </w:rPr>
        <w:t xml:space="preserve">í </w:t>
      </w:r>
      <w:r w:rsidRPr="00E503CF">
        <w:rPr>
          <w:rFonts w:eastAsia="Times New Roman"/>
          <w:sz w:val="20"/>
        </w:rPr>
        <w:t>zameraná na rozvoj čistej energie s dôrazom na inštaláciu a využívanie</w:t>
      </w:r>
      <w:r w:rsidRPr="002014B7">
        <w:rPr>
          <w:rFonts w:eastAsia="Times New Roman"/>
          <w:sz w:val="20"/>
        </w:rPr>
        <w:t xml:space="preserve"> OZE</w:t>
      </w:r>
      <w:r w:rsidRPr="00E503CF">
        <w:rPr>
          <w:rFonts w:eastAsia="Times New Roman"/>
          <w:sz w:val="20"/>
        </w:rPr>
        <w:t xml:space="preserve"> vrátane uskladňovania energie</w:t>
      </w:r>
      <w:r w:rsidRPr="002014B7">
        <w:rPr>
          <w:rFonts w:eastAsia="Times New Roman"/>
          <w:sz w:val="20"/>
        </w:rPr>
        <w:t xml:space="preserve">, </w:t>
      </w:r>
      <w:r w:rsidRPr="00E503CF">
        <w:rPr>
          <w:rFonts w:eastAsia="Times New Roman"/>
          <w:sz w:val="20"/>
        </w:rPr>
        <w:t xml:space="preserve">na budovanie a modernizáciu sietí diaľkového vykurovania, </w:t>
      </w:r>
      <w:r w:rsidRPr="002014B7">
        <w:rPr>
          <w:rFonts w:eastAsia="Times New Roman"/>
          <w:sz w:val="20"/>
        </w:rPr>
        <w:t xml:space="preserve">na </w:t>
      </w:r>
      <w:r w:rsidRPr="00060429">
        <w:rPr>
          <w:rFonts w:eastAsia="Times New Roman"/>
          <w:iCs/>
          <w:sz w:val="20"/>
        </w:rPr>
        <w:t>zvyšovanie energetic</w:t>
      </w:r>
      <w:r w:rsidRPr="002C2D4A">
        <w:rPr>
          <w:rFonts w:eastAsia="Times New Roman"/>
          <w:iCs/>
          <w:sz w:val="20"/>
        </w:rPr>
        <w:t>kej efektívnosti</w:t>
      </w:r>
      <w:r w:rsidRPr="00E503CF">
        <w:rPr>
          <w:rFonts w:eastAsia="Times New Roman"/>
          <w:iCs/>
          <w:sz w:val="20"/>
        </w:rPr>
        <w:t xml:space="preserve"> verejných budov</w:t>
      </w:r>
      <w:r w:rsidRPr="002014B7">
        <w:rPr>
          <w:rFonts w:eastAsia="Times New Roman"/>
          <w:iCs/>
          <w:sz w:val="20"/>
        </w:rPr>
        <w:t>,</w:t>
      </w:r>
      <w:r w:rsidRPr="002014B7">
        <w:rPr>
          <w:rFonts w:eastAsia="Times New Roman"/>
          <w:sz w:val="20"/>
        </w:rPr>
        <w:t xml:space="preserve"> </w:t>
      </w:r>
      <w:r w:rsidRPr="00060429">
        <w:rPr>
          <w:rFonts w:eastAsia="Times New Roman"/>
          <w:sz w:val="20"/>
        </w:rPr>
        <w:t>na revitaliz</w:t>
      </w:r>
      <w:r w:rsidRPr="002C2D4A">
        <w:rPr>
          <w:rFonts w:eastAsia="Times New Roman"/>
          <w:sz w:val="20"/>
        </w:rPr>
        <w:t>áciu a </w:t>
      </w:r>
      <w:r w:rsidRPr="003B1917">
        <w:rPr>
          <w:rFonts w:eastAsia="Times New Roman"/>
          <w:sz w:val="20"/>
        </w:rPr>
        <w:t xml:space="preserve">rekonverziu </w:t>
      </w:r>
      <w:r w:rsidRPr="00E503CF">
        <w:rPr>
          <w:rFonts w:eastAsia="Times New Roman"/>
          <w:sz w:val="20"/>
        </w:rPr>
        <w:t xml:space="preserve">priemyselných lokalít (brownfieldov), na rozvoj obehového hospodárstva, </w:t>
      </w:r>
      <w:r w:rsidRPr="002014B7">
        <w:rPr>
          <w:rFonts w:eastAsia="Times New Roman"/>
          <w:sz w:val="20"/>
        </w:rPr>
        <w:t>na rozvoj udr</w:t>
      </w:r>
      <w:r w:rsidRPr="00060429">
        <w:rPr>
          <w:rFonts w:eastAsia="Times New Roman"/>
          <w:sz w:val="20"/>
        </w:rPr>
        <w:t>žateľne</w:t>
      </w:r>
      <w:r w:rsidRPr="002C2D4A">
        <w:rPr>
          <w:rFonts w:eastAsia="Times New Roman"/>
          <w:sz w:val="20"/>
        </w:rPr>
        <w:t>j miestnej</w:t>
      </w:r>
      <w:r w:rsidRPr="00E503CF">
        <w:rPr>
          <w:rFonts w:eastAsia="Times New Roman"/>
          <w:sz w:val="20"/>
        </w:rPr>
        <w:t xml:space="preserve"> verejnej</w:t>
      </w:r>
      <w:r w:rsidRPr="002014B7">
        <w:rPr>
          <w:rFonts w:eastAsia="Times New Roman"/>
          <w:sz w:val="20"/>
        </w:rPr>
        <w:t xml:space="preserve"> dopravy</w:t>
      </w:r>
      <w:r w:rsidRPr="00E503CF">
        <w:rPr>
          <w:rFonts w:eastAsia="Times New Roman"/>
          <w:sz w:val="20"/>
        </w:rPr>
        <w:t xml:space="preserve"> s nulovými emisiami a infraštruktúry pre alternatívne palivá</w:t>
      </w:r>
      <w:r w:rsidRPr="002014B7">
        <w:rPr>
          <w:rFonts w:eastAsia="Times New Roman"/>
          <w:sz w:val="20"/>
        </w:rPr>
        <w:t xml:space="preserve">. </w:t>
      </w:r>
    </w:p>
    <w:p w:rsidR="00C54B4F" w:rsidRDefault="004C0501" w:rsidP="004C0501">
      <w:pPr>
        <w:spacing w:after="0" w:line="240" w:lineRule="auto"/>
        <w:jc w:val="both"/>
        <w:rPr>
          <w:rFonts w:eastAsia="Times New Roman"/>
          <w:iCs/>
          <w:sz w:val="20"/>
        </w:rPr>
      </w:pPr>
      <w:r w:rsidRPr="00E503CF">
        <w:rPr>
          <w:rFonts w:eastAsia="Times New Roman"/>
          <w:iCs/>
          <w:sz w:val="20"/>
        </w:rPr>
        <w:t>V rámci podpory e</w:t>
      </w:r>
      <w:r w:rsidRPr="002014B7">
        <w:rPr>
          <w:rFonts w:eastAsia="Times New Roman"/>
          <w:iCs/>
          <w:sz w:val="20"/>
        </w:rPr>
        <w:t>nergetick</w:t>
      </w:r>
      <w:r w:rsidRPr="00E503CF">
        <w:rPr>
          <w:rFonts w:eastAsia="Times New Roman"/>
          <w:iCs/>
          <w:sz w:val="20"/>
        </w:rPr>
        <w:t>ej efektívnosti verejných budov</w:t>
      </w:r>
      <w:r w:rsidRPr="002014B7">
        <w:rPr>
          <w:rFonts w:eastAsia="Times New Roman"/>
          <w:iCs/>
          <w:sz w:val="20"/>
        </w:rPr>
        <w:t xml:space="preserve"> bude </w:t>
      </w:r>
      <w:r w:rsidRPr="00E503CF">
        <w:rPr>
          <w:rFonts w:eastAsia="Times New Roman"/>
          <w:iCs/>
          <w:sz w:val="20"/>
        </w:rPr>
        <w:t xml:space="preserve">FST </w:t>
      </w:r>
      <w:r w:rsidRPr="002014B7">
        <w:rPr>
          <w:rFonts w:eastAsia="Times New Roman"/>
          <w:iCs/>
          <w:sz w:val="20"/>
        </w:rPr>
        <w:t xml:space="preserve">doplnkovým zdrojom, ktorý bude poskytovať návratnú a nenávratnú pomoc. V rámci podpory využívania OZE v systémoch zásobovania energiou bude z FST podporená </w:t>
      </w:r>
      <w:r w:rsidRPr="00E503CF">
        <w:rPr>
          <w:rFonts w:eastAsia="Times New Roman"/>
          <w:iCs/>
          <w:sz w:val="20"/>
        </w:rPr>
        <w:t xml:space="preserve">predovšetkým </w:t>
      </w:r>
      <w:r w:rsidRPr="002014B7">
        <w:rPr>
          <w:rFonts w:eastAsia="Times New Roman"/>
          <w:iCs/>
          <w:sz w:val="20"/>
        </w:rPr>
        <w:t>inštalácia fotovoltických panelov</w:t>
      </w:r>
      <w:r w:rsidRPr="00E503CF">
        <w:rPr>
          <w:rFonts w:eastAsia="Times New Roman"/>
          <w:iCs/>
          <w:sz w:val="20"/>
        </w:rPr>
        <w:t xml:space="preserve"> s vysokou kapacitou (nad 250 kW)</w:t>
      </w:r>
      <w:r w:rsidRPr="002014B7">
        <w:rPr>
          <w:rFonts w:eastAsia="Times New Roman"/>
          <w:iCs/>
          <w:sz w:val="20"/>
        </w:rPr>
        <w:t>,</w:t>
      </w:r>
      <w:r w:rsidRPr="00E503CF">
        <w:rPr>
          <w:rFonts w:eastAsia="Times New Roman"/>
          <w:iCs/>
          <w:sz w:val="20"/>
        </w:rPr>
        <w:t xml:space="preserve"> ako aj</w:t>
      </w:r>
      <w:r w:rsidRPr="002014B7">
        <w:rPr>
          <w:rFonts w:eastAsia="Times New Roman"/>
          <w:iCs/>
          <w:sz w:val="20"/>
        </w:rPr>
        <w:t xml:space="preserve"> využívanie geotermálnej energie a výroba výlučne zeleného vodíka. V prípade geotermálnej energ</w:t>
      </w:r>
      <w:r w:rsidRPr="00E503CF">
        <w:rPr>
          <w:rFonts w:eastAsia="Times New Roman"/>
          <w:iCs/>
          <w:sz w:val="20"/>
        </w:rPr>
        <w:t>ie</w:t>
      </w:r>
      <w:r w:rsidRPr="002014B7">
        <w:rPr>
          <w:rFonts w:eastAsia="Times New Roman"/>
          <w:iCs/>
          <w:sz w:val="20"/>
        </w:rPr>
        <w:t xml:space="preserve"> bude podpora z FST nasmerovaná do budovania </w:t>
      </w:r>
      <w:r w:rsidRPr="00E503CF">
        <w:rPr>
          <w:rFonts w:eastAsia="Times New Roman"/>
          <w:iCs/>
          <w:sz w:val="20"/>
        </w:rPr>
        <w:t>geotermálnych zdrojov pre centrálne zásobovanie teplom. Komplementárne bude podporené vyhľadávanie a p</w:t>
      </w:r>
      <w:r w:rsidRPr="002014B7">
        <w:rPr>
          <w:rFonts w:eastAsia="Times New Roman"/>
          <w:iCs/>
          <w:sz w:val="20"/>
        </w:rPr>
        <w:t>ri</w:t>
      </w:r>
      <w:r w:rsidRPr="00E503CF">
        <w:rPr>
          <w:rFonts w:eastAsia="Times New Roman"/>
          <w:iCs/>
          <w:sz w:val="20"/>
        </w:rPr>
        <w:t>eskum geotermálnych zdrojov</w:t>
      </w:r>
      <w:r w:rsidRPr="002014B7">
        <w:rPr>
          <w:rFonts w:eastAsia="Times New Roman"/>
          <w:iCs/>
          <w:sz w:val="20"/>
        </w:rPr>
        <w:t xml:space="preserve">. FST bude podporovať </w:t>
      </w:r>
      <w:r w:rsidRPr="00060429">
        <w:rPr>
          <w:rFonts w:eastAsia="Times New Roman"/>
          <w:iCs/>
          <w:sz w:val="20"/>
        </w:rPr>
        <w:t>budovanie alebo modernizáciu sietí diaľkového vykurovania, ktoré bude výlučne napojené na OZE. To isté platí i pre prípad uskladnenia energie za účelom efektívneho využívania zdrojov a budovania inteligentných energetických systémov.</w:t>
      </w:r>
      <w:r w:rsidRPr="00E503CF">
        <w:rPr>
          <w:rFonts w:eastAsia="Times New Roman"/>
          <w:iCs/>
          <w:sz w:val="20"/>
        </w:rPr>
        <w:t xml:space="preserve"> Podpora obehového hospodárstva v rámci FST bude zameraná na rozvoj integrovaného a udržateľného prístupu v odpadovom hospodárstve na regionálnej úrovni s využitím potenciálu opustených priemyselných areálov. Podpora z FST bude špecificky zameraná na revitalizáciu brownfieldov vzniknutých v dôsledku činnosti ťažobného a energetického sektora s tým, že</w:t>
      </w:r>
      <w:r w:rsidRPr="002014B7">
        <w:rPr>
          <w:rFonts w:eastAsia="Times New Roman"/>
          <w:iCs/>
          <w:sz w:val="20"/>
        </w:rPr>
        <w:t xml:space="preserve"> územia budú </w:t>
      </w:r>
      <w:r w:rsidRPr="00E503CF">
        <w:rPr>
          <w:rFonts w:eastAsia="Times New Roman"/>
          <w:iCs/>
          <w:sz w:val="20"/>
        </w:rPr>
        <w:t>využívané na nové</w:t>
      </w:r>
      <w:r w:rsidRPr="002014B7">
        <w:rPr>
          <w:rFonts w:eastAsia="Times New Roman"/>
          <w:iCs/>
          <w:sz w:val="20"/>
        </w:rPr>
        <w:t xml:space="preserve"> účel</w:t>
      </w:r>
      <w:r w:rsidRPr="00E503CF">
        <w:rPr>
          <w:rFonts w:eastAsia="Times New Roman"/>
          <w:iCs/>
          <w:sz w:val="20"/>
        </w:rPr>
        <w:t>y</w:t>
      </w:r>
      <w:r w:rsidRPr="002014B7">
        <w:rPr>
          <w:rFonts w:eastAsia="Times New Roman"/>
          <w:iCs/>
          <w:sz w:val="20"/>
        </w:rPr>
        <w:t xml:space="preserve"> (</w:t>
      </w:r>
      <w:r w:rsidRPr="00060429">
        <w:rPr>
          <w:rFonts w:eastAsia="Times New Roman"/>
          <w:iCs/>
          <w:sz w:val="20"/>
        </w:rPr>
        <w:t>napr. priemyselný park</w:t>
      </w:r>
      <w:r>
        <w:rPr>
          <w:rFonts w:eastAsia="Times New Roman"/>
          <w:iCs/>
          <w:sz w:val="20"/>
        </w:rPr>
        <w:t xml:space="preserve">, </w:t>
      </w:r>
      <w:r w:rsidRPr="004C0501">
        <w:rPr>
          <w:rFonts w:eastAsia="Times New Roman"/>
          <w:iCs/>
          <w:sz w:val="20"/>
        </w:rPr>
        <w:t>inštalácia OZE, kultúrno-turistické účely s ohľadom na ochranu banského dedičstva).</w:t>
      </w:r>
    </w:p>
    <w:p w:rsidR="004C0501" w:rsidRDefault="004C0501" w:rsidP="004C0501">
      <w:pPr>
        <w:spacing w:after="0" w:line="240" w:lineRule="auto"/>
        <w:jc w:val="both"/>
        <w:rPr>
          <w:rFonts w:eastAsia="Times New Roman"/>
          <w:sz w:val="20"/>
        </w:rPr>
      </w:pPr>
    </w:p>
    <w:p w:rsidR="00D71C19" w:rsidRPr="00D71C19" w:rsidRDefault="00D71C19" w:rsidP="00C54B4F">
      <w:pPr>
        <w:jc w:val="both"/>
        <w:rPr>
          <w:b/>
          <w:u w:val="single"/>
        </w:rPr>
      </w:pPr>
      <w:r w:rsidRPr="00D71C19">
        <w:rPr>
          <w:b/>
          <w:u w:val="single"/>
        </w:rPr>
        <w:t>Synergie s ENRAF</w:t>
      </w:r>
    </w:p>
    <w:p w:rsidR="00D71C19" w:rsidRDefault="00D71C19" w:rsidP="00C54B4F">
      <w:pPr>
        <w:jc w:val="both"/>
        <w:rPr>
          <w:sz w:val="20"/>
          <w:szCs w:val="20"/>
        </w:rPr>
      </w:pPr>
      <w:r w:rsidRPr="00F3246D">
        <w:rPr>
          <w:rFonts w:eastAsia="Times New Roman"/>
          <w:iCs/>
          <w:sz w:val="20"/>
        </w:rPr>
        <w:t xml:space="preserve">V rámci CP 2 budú komplementárne využívané aj zdroje ENRAF, a to najmä na podporu energetického prechodu a energetickej efektívnosti ekonomických sektorov akvakultúry a spracovania rýb; na ochranu a obnovu vodných a biologických zdrojov SR; na podporu a zvýšenie celkovej odolnosti akvakultúry a rýb, </w:t>
      </w:r>
      <w:r>
        <w:rPr>
          <w:rFonts w:eastAsia="Times New Roman"/>
          <w:iCs/>
          <w:sz w:val="20"/>
        </w:rPr>
        <w:t xml:space="preserve">na </w:t>
      </w:r>
      <w:r w:rsidRPr="00F3246D">
        <w:rPr>
          <w:rFonts w:eastAsia="Times New Roman"/>
          <w:iCs/>
          <w:sz w:val="20"/>
        </w:rPr>
        <w:t xml:space="preserve">spracovanie a prispôsobenie sektorov zmene podnebia; </w:t>
      </w:r>
      <w:r>
        <w:rPr>
          <w:rFonts w:eastAsia="Times New Roman"/>
          <w:iCs/>
          <w:sz w:val="20"/>
        </w:rPr>
        <w:t>na podporu</w:t>
      </w:r>
      <w:r w:rsidRPr="00F3246D">
        <w:rPr>
          <w:rFonts w:eastAsia="Times New Roman"/>
          <w:iCs/>
          <w:sz w:val="20"/>
        </w:rPr>
        <w:t xml:space="preserve"> inovácií, digitalizácie a zeleného prechodu malých a stredných podnikov pôsobiacich v odvetviach záujmu ENRAF.</w:t>
      </w:r>
      <w:r w:rsidR="0025709A">
        <w:rPr>
          <w:rFonts w:eastAsia="Times New Roman"/>
          <w:iCs/>
          <w:sz w:val="20"/>
        </w:rPr>
        <w:t xml:space="preserve"> </w:t>
      </w:r>
      <w:r w:rsidRPr="008430D2">
        <w:rPr>
          <w:rFonts w:eastAsia="Times New Roman"/>
          <w:sz w:val="20"/>
          <w:szCs w:val="20"/>
        </w:rPr>
        <w:t xml:space="preserve">Z EFRR bude podporené zlepšenie stavu vodných biotopov a druhov, </w:t>
      </w:r>
      <w:r>
        <w:rPr>
          <w:rFonts w:eastAsia="Times New Roman"/>
          <w:sz w:val="20"/>
          <w:szCs w:val="20"/>
        </w:rPr>
        <w:t xml:space="preserve">a to </w:t>
      </w:r>
      <w:r w:rsidRPr="008430D2">
        <w:rPr>
          <w:rFonts w:eastAsia="Times New Roman"/>
          <w:sz w:val="20"/>
          <w:szCs w:val="20"/>
        </w:rPr>
        <w:t>revitalizáciou a obnovou spojitosti vodných tokov, obnovou inundačných území,</w:t>
      </w:r>
      <w:r w:rsidRPr="008430D2">
        <w:t xml:space="preserve"> </w:t>
      </w:r>
      <w:r w:rsidRPr="008430D2">
        <w:rPr>
          <w:rFonts w:eastAsia="Times New Roman"/>
          <w:sz w:val="20"/>
          <w:szCs w:val="20"/>
        </w:rPr>
        <w:t>pričom s</w:t>
      </w:r>
      <w:r w:rsidRPr="008430D2">
        <w:rPr>
          <w:sz w:val="20"/>
          <w:szCs w:val="20"/>
        </w:rPr>
        <w:t>ynergické pôsobenie sa očakáva medzi </w:t>
      </w:r>
      <w:r>
        <w:rPr>
          <w:sz w:val="20"/>
          <w:szCs w:val="20"/>
        </w:rPr>
        <w:t>ENRAF, E</w:t>
      </w:r>
      <w:r w:rsidR="00761835">
        <w:rPr>
          <w:sz w:val="20"/>
          <w:szCs w:val="20"/>
        </w:rPr>
        <w:t>FRR</w:t>
      </w:r>
      <w:r>
        <w:rPr>
          <w:sz w:val="20"/>
          <w:szCs w:val="20"/>
        </w:rPr>
        <w:t xml:space="preserve"> aj v oblasti podpory výskumu a inovácií pre </w:t>
      </w:r>
      <w:r>
        <w:rPr>
          <w:rFonts w:eastAsia="Times New Roman"/>
          <w:sz w:val="20"/>
        </w:rPr>
        <w:t xml:space="preserve">prioritné oblasti domény RIS3 </w:t>
      </w:r>
      <w:r w:rsidRPr="00943532">
        <w:rPr>
          <w:rFonts w:eastAsia="Times New Roman"/>
          <w:sz w:val="20"/>
        </w:rPr>
        <w:t>Zdravé potraviny a životné prostredie</w:t>
      </w:r>
      <w:r>
        <w:rPr>
          <w:rFonts w:eastAsia="Times New Roman"/>
          <w:sz w:val="20"/>
        </w:rPr>
        <w:t>. Súčasne budú úzke prepojenia a synergické efekty</w:t>
      </w:r>
      <w:r w:rsidRPr="008430D2">
        <w:rPr>
          <w:sz w:val="20"/>
          <w:szCs w:val="20"/>
        </w:rPr>
        <w:t xml:space="preserve"> </w:t>
      </w:r>
      <w:r>
        <w:rPr>
          <w:sz w:val="20"/>
          <w:szCs w:val="20"/>
        </w:rPr>
        <w:t xml:space="preserve">medzi ENRAF, </w:t>
      </w:r>
      <w:r w:rsidR="00761835">
        <w:rPr>
          <w:sz w:val="20"/>
          <w:szCs w:val="20"/>
        </w:rPr>
        <w:t>EFRR</w:t>
      </w:r>
      <w:r>
        <w:rPr>
          <w:sz w:val="20"/>
          <w:szCs w:val="20"/>
        </w:rPr>
        <w:t xml:space="preserve"> a </w:t>
      </w:r>
      <w:r w:rsidRPr="008430D2">
        <w:rPr>
          <w:sz w:val="20"/>
          <w:szCs w:val="20"/>
        </w:rPr>
        <w:t xml:space="preserve">Horizont Európa (v rámci misie </w:t>
      </w:r>
      <w:r w:rsidRPr="008430D2">
        <w:rPr>
          <w:b/>
          <w:bCs/>
          <w:sz w:val="20"/>
          <w:szCs w:val="20"/>
        </w:rPr>
        <w:t>“Restore our ocean and waters by 2030”)</w:t>
      </w:r>
      <w:r w:rsidRPr="008430D2">
        <w:rPr>
          <w:sz w:val="20"/>
          <w:szCs w:val="20"/>
        </w:rPr>
        <w:t xml:space="preserve"> a fondmi EÚ</w:t>
      </w:r>
      <w:r>
        <w:rPr>
          <w:sz w:val="20"/>
          <w:szCs w:val="20"/>
        </w:rPr>
        <w:t>,</w:t>
      </w:r>
      <w:r w:rsidRPr="008430D2">
        <w:rPr>
          <w:sz w:val="20"/>
          <w:szCs w:val="20"/>
        </w:rPr>
        <w:t xml:space="preserve"> a to konkrétne podporou výskumných a inovačných aktivít zameraných na udržateľné využívanie prírodných zdrojov (pôda, voda, vzduch</w:t>
      </w:r>
      <w:r>
        <w:rPr>
          <w:sz w:val="20"/>
          <w:szCs w:val="20"/>
        </w:rPr>
        <w:t xml:space="preserve">) </w:t>
      </w:r>
      <w:r w:rsidRPr="008430D2">
        <w:rPr>
          <w:sz w:val="20"/>
          <w:szCs w:val="20"/>
        </w:rPr>
        <w:t>a na zabezpečenie kvality, bezpečnosti a udržateľnosti prírodných zdrojov vrátane biodiverzity a ekosystémov.</w:t>
      </w:r>
    </w:p>
    <w:p w:rsidR="006575B7" w:rsidRPr="00C54B4F" w:rsidRDefault="0025709A" w:rsidP="00C54B4F">
      <w:pPr>
        <w:jc w:val="both"/>
        <w:rPr>
          <w:b/>
          <w:u w:val="single"/>
        </w:rPr>
      </w:pPr>
      <w:r>
        <w:rPr>
          <w:b/>
          <w:u w:val="single"/>
        </w:rPr>
        <w:t>S</w:t>
      </w:r>
      <w:r w:rsidR="006575B7" w:rsidRPr="00C54B4F">
        <w:rPr>
          <w:b/>
          <w:u w:val="single"/>
        </w:rPr>
        <w:t>ynergie s EPFRV</w:t>
      </w:r>
    </w:p>
    <w:p w:rsidR="0025709A" w:rsidRDefault="0025709A" w:rsidP="0025709A">
      <w:pPr>
        <w:jc w:val="both"/>
        <w:rPr>
          <w:sz w:val="20"/>
          <w:szCs w:val="20"/>
        </w:rPr>
      </w:pPr>
      <w:r>
        <w:rPr>
          <w:sz w:val="20"/>
          <w:szCs w:val="20"/>
        </w:rPr>
        <w:t>Synergické efekty EPFRV vzhľadom na charakteristiku a zameranie investícií PO2 a prioritné oblasti domény RIS3 “Zdravé potraviny a životné prostredie” budú zabezpečené prepojeniami  a synergickými efektmi s CP2 realizovanými  nielen pre obehové hospodárstvo, dlhodobú udržateľnosť produkčných systémov založených na biomase, kde obehové riešenia na báze biomasy majú potenciál znížiť závislosť SR od neobnoviteľných zdrojov, ale aj  podporou inovatívneho obhospodarovania pôdy založeného na vedomostiach a transformácii smerovanej k agroekologizácii hospodárenia na pôde.</w:t>
      </w:r>
    </w:p>
    <w:p w:rsidR="00D71C19" w:rsidRPr="00E616EB" w:rsidRDefault="00D71C19" w:rsidP="00EF0988">
      <w:pPr>
        <w:spacing w:line="240" w:lineRule="auto"/>
        <w:jc w:val="both"/>
        <w:rPr>
          <w:rFonts w:eastAsia="Times New Roman"/>
          <w:iCs/>
          <w:sz w:val="20"/>
        </w:rPr>
      </w:pPr>
      <w:r w:rsidRPr="00E616EB">
        <w:rPr>
          <w:rFonts w:eastAsia="Times New Roman"/>
          <w:iCs/>
          <w:sz w:val="20"/>
        </w:rPr>
        <w:lastRenderedPageBreak/>
        <w:t>Podpora z EPFRV bude komplementárna v oblasti využívania OZE a v oblasti</w:t>
      </w:r>
      <w:r>
        <w:rPr>
          <w:rFonts w:eastAsia="Times New Roman"/>
          <w:iCs/>
          <w:sz w:val="20"/>
        </w:rPr>
        <w:t>ach</w:t>
      </w:r>
      <w:r w:rsidRPr="00E616EB">
        <w:rPr>
          <w:rFonts w:eastAsia="Times New Roman"/>
          <w:iCs/>
          <w:sz w:val="20"/>
        </w:rPr>
        <w:t xml:space="preserve">  energetického a technického využitia OZE na vlastnú spotrebu tepla, elektriny a</w:t>
      </w:r>
      <w:r>
        <w:rPr>
          <w:rFonts w:eastAsia="Times New Roman"/>
          <w:iCs/>
          <w:sz w:val="20"/>
        </w:rPr>
        <w:t> </w:t>
      </w:r>
      <w:r w:rsidRPr="00E616EB">
        <w:rPr>
          <w:rFonts w:eastAsia="Times New Roman"/>
          <w:iCs/>
          <w:sz w:val="20"/>
        </w:rPr>
        <w:t>palív</w:t>
      </w:r>
      <w:r>
        <w:rPr>
          <w:rFonts w:eastAsia="Times New Roman"/>
          <w:iCs/>
          <w:sz w:val="20"/>
        </w:rPr>
        <w:t>, najmä</w:t>
      </w:r>
      <w:r w:rsidRPr="00E616EB">
        <w:rPr>
          <w:rFonts w:eastAsia="Times New Roman"/>
          <w:iCs/>
          <w:sz w:val="20"/>
        </w:rPr>
        <w:t xml:space="preserve"> v poľnohospodárskych a potravinárskych podnikoch</w:t>
      </w:r>
      <w:r>
        <w:rPr>
          <w:rFonts w:eastAsia="Times New Roman"/>
          <w:iCs/>
          <w:sz w:val="20"/>
        </w:rPr>
        <w:t>, čo súčasne s potenciálne väčším využitím bioplynu znižuje energetickú závislosť na fosílnych energetických zdrojoch.</w:t>
      </w:r>
      <w:r w:rsidRPr="00E616EB">
        <w:rPr>
          <w:rFonts w:eastAsia="Times New Roman"/>
          <w:iCs/>
          <w:sz w:val="20"/>
        </w:rPr>
        <w:t xml:space="preserve"> </w:t>
      </w:r>
    </w:p>
    <w:p w:rsidR="00D71C19" w:rsidRPr="00E616EB" w:rsidRDefault="00D71C19" w:rsidP="00EF0988">
      <w:pPr>
        <w:spacing w:line="240" w:lineRule="auto"/>
        <w:jc w:val="both"/>
        <w:rPr>
          <w:rFonts w:eastAsia="Times New Roman"/>
          <w:iCs/>
          <w:sz w:val="20"/>
        </w:rPr>
      </w:pPr>
      <w:r w:rsidRPr="00E616EB">
        <w:rPr>
          <w:rFonts w:eastAsia="Times New Roman"/>
          <w:iCs/>
          <w:sz w:val="20"/>
        </w:rPr>
        <w:t>Podpora z EPFRV bude komplementárna v oblasti budovania krajinných prvkov na zvýšenie ochrany pôdy pred erózi</w:t>
      </w:r>
      <w:r>
        <w:rPr>
          <w:rFonts w:eastAsia="Times New Roman"/>
          <w:iCs/>
          <w:sz w:val="20"/>
        </w:rPr>
        <w:t>o</w:t>
      </w:r>
      <w:r w:rsidRPr="00E616EB">
        <w:rPr>
          <w:rFonts w:eastAsia="Times New Roman"/>
          <w:iCs/>
          <w:sz w:val="20"/>
        </w:rPr>
        <w:t xml:space="preserve">u, zvýšenie retenčnej schopnosti krajiny a zlepšenie biodiverzity. Z EPFRV budú investície v tých katastroch, pre ktoré boli rozhodnutím ukončené a zapísané projekty pozemkových úprav. V prípade technických prvkov na drobných vodných tokoch v lesoch, tieto budú realizované obhospodarovateľmi lesov, ktorí sú správcami drobných vodných tokov. </w:t>
      </w:r>
    </w:p>
    <w:p w:rsidR="00761835" w:rsidRPr="00F2510B" w:rsidRDefault="00D71C19" w:rsidP="00761835">
      <w:pPr>
        <w:spacing w:line="240" w:lineRule="auto"/>
        <w:jc w:val="both"/>
        <w:rPr>
          <w:rFonts w:eastAsia="Times New Roman"/>
          <w:iCs/>
          <w:sz w:val="20"/>
        </w:rPr>
      </w:pPr>
      <w:r w:rsidRPr="00A61275">
        <w:rPr>
          <w:rFonts w:eastAsia="Times New Roman"/>
          <w:iCs/>
          <w:sz w:val="20"/>
        </w:rPr>
        <w:t xml:space="preserve">Podpora z EPFRV je tiež smerovaná na tzv. neprojektové opatrenia, ktoré sú synergické s podporou </w:t>
      </w:r>
      <w:r w:rsidR="00A61275">
        <w:rPr>
          <w:rFonts w:eastAsia="Times New Roman"/>
          <w:iCs/>
          <w:sz w:val="20"/>
        </w:rPr>
        <w:t xml:space="preserve">v PD </w:t>
      </w:r>
      <w:r w:rsidRPr="00A61275">
        <w:rPr>
          <w:rFonts w:eastAsia="Times New Roman"/>
          <w:iCs/>
          <w:sz w:val="20"/>
        </w:rPr>
        <w:t xml:space="preserve">v rámci </w:t>
      </w:r>
      <w:r w:rsidR="00A61275" w:rsidRPr="00A61275">
        <w:rPr>
          <w:rFonts w:eastAsia="Times New Roman"/>
          <w:iCs/>
          <w:sz w:val="20"/>
        </w:rPr>
        <w:t xml:space="preserve">CP 2 </w:t>
      </w:r>
      <w:r w:rsidRPr="00E616EB">
        <w:rPr>
          <w:rFonts w:eastAsia="Times New Roman"/>
          <w:iCs/>
          <w:sz w:val="20"/>
        </w:rPr>
        <w:t>Podpora adaptácie na zmenu klímy a prevencie rizika katastrof, ako aj odolnosti, s prihliadnutím na ekosystémové prístupy</w:t>
      </w:r>
      <w:r>
        <w:rPr>
          <w:rFonts w:eastAsia="Times New Roman"/>
          <w:iCs/>
          <w:sz w:val="20"/>
        </w:rPr>
        <w:t xml:space="preserve">, </w:t>
      </w:r>
      <w:r w:rsidR="00A61275">
        <w:rPr>
          <w:rFonts w:eastAsia="Times New Roman"/>
          <w:iCs/>
          <w:sz w:val="20"/>
        </w:rPr>
        <w:t>na z</w:t>
      </w:r>
      <w:r w:rsidRPr="00DE1E6F">
        <w:rPr>
          <w:rFonts w:eastAsia="Times New Roman"/>
          <w:iCs/>
          <w:sz w:val="20"/>
        </w:rPr>
        <w:t>akladanie agrolesníckych systémov na poľnohospodárskej pôde</w:t>
      </w:r>
      <w:r>
        <w:rPr>
          <w:rFonts w:eastAsia="Times New Roman"/>
          <w:iCs/>
          <w:sz w:val="20"/>
        </w:rPr>
        <w:t>,</w:t>
      </w:r>
      <w:r w:rsidR="00A61275">
        <w:rPr>
          <w:rFonts w:eastAsia="Times New Roman"/>
          <w:iCs/>
          <w:sz w:val="20"/>
        </w:rPr>
        <w:t xml:space="preserve"> na z</w:t>
      </w:r>
      <w:r w:rsidRPr="00DE1E6F">
        <w:rPr>
          <w:rFonts w:eastAsia="Times New Roman"/>
          <w:iCs/>
          <w:sz w:val="20"/>
        </w:rPr>
        <w:t>akladanie líniových vegetačných prvkov</w:t>
      </w:r>
      <w:r>
        <w:rPr>
          <w:rFonts w:eastAsia="Times New Roman"/>
          <w:iCs/>
          <w:sz w:val="20"/>
        </w:rPr>
        <w:t xml:space="preserve">, </w:t>
      </w:r>
      <w:r w:rsidR="00A61275">
        <w:rPr>
          <w:rFonts w:eastAsia="Times New Roman"/>
          <w:iCs/>
          <w:sz w:val="20"/>
        </w:rPr>
        <w:t>na z</w:t>
      </w:r>
      <w:r w:rsidRPr="00DE1E6F">
        <w:rPr>
          <w:rFonts w:eastAsia="Times New Roman"/>
          <w:iCs/>
          <w:sz w:val="20"/>
        </w:rPr>
        <w:t>alesňovanie poľnohospodárskej pôdy</w:t>
      </w:r>
      <w:r>
        <w:rPr>
          <w:rFonts w:eastAsia="Times New Roman"/>
          <w:iCs/>
          <w:sz w:val="20"/>
        </w:rPr>
        <w:t>.</w:t>
      </w:r>
      <w:r w:rsidR="00A61275">
        <w:rPr>
          <w:rFonts w:eastAsia="Times New Roman"/>
          <w:iCs/>
          <w:sz w:val="20"/>
        </w:rPr>
        <w:t xml:space="preserve"> </w:t>
      </w:r>
      <w:r w:rsidR="00761835" w:rsidRPr="00F2510B">
        <w:rPr>
          <w:rFonts w:eastAsia="Times New Roman"/>
          <w:iCs/>
          <w:sz w:val="20"/>
        </w:rPr>
        <w:t>Tieto neprojektové opatrenia sú ďalej synergické s podporou v PD v rámci CP 2 Posilnenie ochrany a zachovania prírody, biodiverzity a zelenej infraštruktúry, a to aj v mestských oblastiach a zníženia všetkých foriem znečistenia, s prihliadnutím na ekologické poľnohospodárstvo, agroenvironmentálno-klimatické intervencie (ochrana vodných zdrojov, šetrné hospodárenie na ornej pôde, ochrana a zachovanie biodiverzity), na lesnícko-environmentálne a klimatické služby a ochrana lesov, na operácia zameranú na podporu oblastí Natura 2000.</w:t>
      </w:r>
    </w:p>
    <w:p w:rsidR="00D71C19" w:rsidRDefault="00D71C19" w:rsidP="00D71C19">
      <w:pPr>
        <w:spacing w:line="240" w:lineRule="auto"/>
        <w:jc w:val="both"/>
        <w:rPr>
          <w:rFonts w:eastAsia="Times New Roman"/>
          <w:iCs/>
          <w:sz w:val="20"/>
        </w:rPr>
      </w:pPr>
    </w:p>
    <w:p w:rsidR="00D71C19" w:rsidRDefault="00D71C19" w:rsidP="00D71C19">
      <w:pPr>
        <w:spacing w:line="240" w:lineRule="auto"/>
        <w:jc w:val="both"/>
        <w:rPr>
          <w:rFonts w:eastAsia="Times New Roman"/>
          <w:b/>
          <w:iCs/>
          <w:sz w:val="20"/>
          <w:u w:val="single"/>
        </w:rPr>
      </w:pPr>
      <w:r w:rsidRPr="00DE1E6F">
        <w:rPr>
          <w:rFonts w:eastAsia="Times New Roman"/>
          <w:iCs/>
          <w:sz w:val="20"/>
        </w:rPr>
        <w:t>Cieľ zlepšenia adaptácie krajiny na nepriaznivé dôsledky klimatických zmien, cieľ ochrany pôdy, resp. cieľ ochrany biodiverzity bude napĺňaný aj prostredníctvom investícií do vybudovania prvkov zelenej a modrej infraštruktúry</w:t>
      </w:r>
      <w:r>
        <w:rPr>
          <w:rFonts w:eastAsia="Times New Roman"/>
          <w:iCs/>
          <w:sz w:val="20"/>
        </w:rPr>
        <w:t>,</w:t>
      </w:r>
      <w:r w:rsidRPr="00DE1E6F">
        <w:rPr>
          <w:rFonts w:eastAsia="Times New Roman"/>
          <w:iCs/>
          <w:sz w:val="20"/>
        </w:rPr>
        <w:t xml:space="preserve"> a to z finančných prostriedkov poskytnutých v rámci </w:t>
      </w:r>
      <w:r w:rsidRPr="00E616EB">
        <w:rPr>
          <w:rFonts w:eastAsia="Times New Roman"/>
          <w:iCs/>
          <w:sz w:val="20"/>
        </w:rPr>
        <w:t>Spoločnej poľnohospodárskej politiky na roky 2023 – 2027. S cieľom súvisiacim s ochranou biodiverzity a s adaptáciou na zmeny klímy budú krajinné prvky zelenej a modrej infraštruktúry doplnkovo podporené aj z </w:t>
      </w:r>
      <w:r w:rsidRPr="00A61275">
        <w:rPr>
          <w:rFonts w:eastAsia="Times New Roman"/>
          <w:b/>
          <w:iCs/>
          <w:sz w:val="20"/>
          <w:u w:val="single"/>
        </w:rPr>
        <w:t>EFRR.</w:t>
      </w:r>
    </w:p>
    <w:p w:rsidR="009517A5" w:rsidRPr="000445AF" w:rsidRDefault="000445AF" w:rsidP="009517A5">
      <w:pPr>
        <w:spacing w:before="120" w:after="0" w:line="240" w:lineRule="auto"/>
        <w:jc w:val="both"/>
        <w:rPr>
          <w:rFonts w:eastAsia="Times New Roman"/>
          <w:b/>
          <w:u w:val="single"/>
        </w:rPr>
      </w:pPr>
      <w:r w:rsidRPr="000445AF">
        <w:rPr>
          <w:rFonts w:eastAsia="Times New Roman"/>
          <w:b/>
          <w:u w:val="single"/>
        </w:rPr>
        <w:t xml:space="preserve">Synergie s </w:t>
      </w:r>
      <w:r w:rsidR="009517A5" w:rsidRPr="000445AF">
        <w:rPr>
          <w:rFonts w:eastAsia="Times New Roman"/>
          <w:b/>
          <w:u w:val="single"/>
        </w:rPr>
        <w:t>Interreg SK-CZ</w:t>
      </w:r>
    </w:p>
    <w:p w:rsidR="009517A5" w:rsidRPr="00291A10" w:rsidRDefault="009517A5" w:rsidP="009517A5">
      <w:pPr>
        <w:spacing w:before="120" w:after="0" w:line="240" w:lineRule="auto"/>
        <w:jc w:val="both"/>
        <w:rPr>
          <w:rFonts w:eastAsia="Times New Roman"/>
          <w:sz w:val="20"/>
        </w:rPr>
      </w:pPr>
      <w:r w:rsidRPr="00291A10">
        <w:rPr>
          <w:rFonts w:eastAsia="Times New Roman"/>
          <w:sz w:val="20"/>
        </w:rPr>
        <w:t xml:space="preserve">Národné intervencie Programu Slovensko budú doplnené o komplementárne intervencie založené na cezhraničnej spolupráci a výmene skúseností medzi SR a ČR v oblasti adaptácie na zmenu klímy a manažmentu katastrof (SO2.4), posilnenia ochrany a zachovania prírody a biodiverzity (SO2.7), a zvýšenia kvality a inkluzívnosti vzdelávania (SO4.2).  </w:t>
      </w:r>
      <w:r w:rsidRPr="009517A5">
        <w:rPr>
          <w:rFonts w:eastAsia="Times New Roman"/>
          <w:sz w:val="20"/>
        </w:rPr>
        <w:t>Súčasťou OP Slovensko je aj Fond spravodlivej transformácie, ktorý bude podporovať sociálne, zamestnanecké, hospodárske a environmentálne aspekty prechodu k cieľu Únie v oblasti klímy a klimaticky neutrálneho hospodárstva do roku 2050 na základe Parížskej dohody v Trenčianskom kraji – okresy Prievidza a Partizánske.</w:t>
      </w:r>
    </w:p>
    <w:p w:rsidR="009517A5" w:rsidRDefault="009517A5" w:rsidP="00D71C19">
      <w:pPr>
        <w:spacing w:line="240" w:lineRule="auto"/>
        <w:jc w:val="both"/>
        <w:rPr>
          <w:rFonts w:eastAsia="Times New Roman"/>
          <w:b/>
          <w:iCs/>
          <w:sz w:val="20"/>
          <w:u w:val="single"/>
        </w:rPr>
      </w:pPr>
    </w:p>
    <w:p w:rsidR="000445AF" w:rsidRPr="000445AF" w:rsidRDefault="000445AF" w:rsidP="000445AF">
      <w:pPr>
        <w:spacing w:after="0" w:line="240" w:lineRule="auto"/>
        <w:jc w:val="both"/>
        <w:rPr>
          <w:rFonts w:eastAsia="Times New Roman"/>
          <w:b/>
          <w:u w:val="single"/>
        </w:rPr>
      </w:pPr>
      <w:r w:rsidRPr="000445AF">
        <w:rPr>
          <w:rFonts w:eastAsia="Times New Roman"/>
          <w:b/>
          <w:u w:val="single"/>
        </w:rPr>
        <w:t xml:space="preserve">Synergie s Interreg SK-AT </w:t>
      </w:r>
    </w:p>
    <w:p w:rsidR="000445AF" w:rsidRDefault="000445AF" w:rsidP="00D71C19">
      <w:pPr>
        <w:spacing w:line="240" w:lineRule="auto"/>
        <w:jc w:val="both"/>
        <w:rPr>
          <w:rFonts w:eastAsia="Times New Roman"/>
          <w:b/>
          <w:iCs/>
          <w:sz w:val="20"/>
          <w:u w:val="single"/>
        </w:rPr>
      </w:pPr>
    </w:p>
    <w:p w:rsidR="000445AF" w:rsidRDefault="000445AF" w:rsidP="00D71C19">
      <w:pPr>
        <w:spacing w:line="240" w:lineRule="auto"/>
        <w:jc w:val="both"/>
        <w:rPr>
          <w:rFonts w:eastAsia="Times New Roman"/>
          <w:iCs/>
          <w:sz w:val="20"/>
        </w:rPr>
      </w:pPr>
      <w:r w:rsidRPr="000445AF">
        <w:rPr>
          <w:rFonts w:eastAsia="Times New Roman"/>
          <w:iCs/>
          <w:sz w:val="20"/>
        </w:rPr>
        <w:t>Komplementárnosť a synergie boli identifikované v oblasti prispôsobovania sa zmene klímy a predchádzania rizikám katastrof (SO 2.4), ochrany a zachovania prírody, biodiverzity a zelenej infraštruktúry (SO 2.7)</w:t>
      </w:r>
    </w:p>
    <w:p w:rsidR="004D0ADA" w:rsidRDefault="004D0ADA" w:rsidP="00D71C19">
      <w:pPr>
        <w:spacing w:line="240" w:lineRule="auto"/>
        <w:jc w:val="both"/>
        <w:rPr>
          <w:b/>
          <w:u w:val="single"/>
        </w:rPr>
      </w:pPr>
      <w:r w:rsidRPr="004D0ADA">
        <w:rPr>
          <w:rFonts w:eastAsia="Times New Roman"/>
          <w:b/>
          <w:iCs/>
          <w:u w:val="single"/>
        </w:rPr>
        <w:t xml:space="preserve">Synergie s Interreg </w:t>
      </w:r>
      <w:r w:rsidR="00761835">
        <w:rPr>
          <w:rFonts w:eastAsia="Times New Roman"/>
          <w:b/>
          <w:iCs/>
          <w:u w:val="single"/>
        </w:rPr>
        <w:t xml:space="preserve">NEXT </w:t>
      </w:r>
      <w:r w:rsidRPr="004D0ADA">
        <w:rPr>
          <w:b/>
          <w:u w:val="single"/>
        </w:rPr>
        <w:t>HU-SK-RO-UA</w:t>
      </w:r>
    </w:p>
    <w:p w:rsidR="004D0ADA" w:rsidRDefault="004D0ADA" w:rsidP="00D71C19">
      <w:pPr>
        <w:spacing w:line="240" w:lineRule="auto"/>
        <w:jc w:val="both"/>
        <w:rPr>
          <w:rFonts w:eastAsia="Times New Roman"/>
          <w:iCs/>
          <w:sz w:val="20"/>
          <w:szCs w:val="20"/>
        </w:rPr>
      </w:pPr>
      <w:r w:rsidRPr="004D0ADA">
        <w:rPr>
          <w:rFonts w:eastAsia="Times New Roman"/>
          <w:iCs/>
          <w:sz w:val="20"/>
          <w:szCs w:val="20"/>
        </w:rPr>
        <w:t xml:space="preserve">Možno preukázať synergie s územnými plánmi spravodlivého </w:t>
      </w:r>
      <w:r>
        <w:rPr>
          <w:rFonts w:eastAsia="Times New Roman"/>
          <w:iCs/>
          <w:sz w:val="20"/>
          <w:szCs w:val="20"/>
        </w:rPr>
        <w:t>transformácie (ÚPST)</w:t>
      </w:r>
      <w:r w:rsidRPr="004D0ADA">
        <w:rPr>
          <w:rFonts w:eastAsia="Times New Roman"/>
          <w:iCs/>
          <w:sz w:val="20"/>
          <w:szCs w:val="20"/>
        </w:rPr>
        <w:t xml:space="preserve">, ktoré sa vypracúvajú v Košickom kraji s cieľom znížiť sociálno-ekonomické náklady obcí vysoko závislých od fosílnych palív a emisne náročných odvetví. Plánovaný rozvoj </w:t>
      </w:r>
      <w:r>
        <w:rPr>
          <w:rFonts w:eastAsia="Times New Roman"/>
          <w:iCs/>
          <w:sz w:val="20"/>
          <w:szCs w:val="20"/>
        </w:rPr>
        <w:t>ÚPST</w:t>
      </w:r>
      <w:r w:rsidRPr="004D0ADA">
        <w:rPr>
          <w:rFonts w:eastAsia="Times New Roman"/>
          <w:iCs/>
          <w:sz w:val="20"/>
          <w:szCs w:val="20"/>
        </w:rPr>
        <w:t xml:space="preserve"> prispeje k dosiahnutiu cieľov programu najmä vo vzťahu k PO2-SO4 (zmena technológií, zelené hospodárstvo, obnoviteľné zdroje energie, ekologickejšia výroba a využívanie energie) a PO2-SO7 (zmena využitia pôdy opustených baní).</w:t>
      </w:r>
    </w:p>
    <w:p w:rsidR="004D0ADA" w:rsidRDefault="004D0ADA" w:rsidP="00D71C19">
      <w:pPr>
        <w:spacing w:line="240" w:lineRule="auto"/>
        <w:jc w:val="both"/>
        <w:rPr>
          <w:rFonts w:eastAsia="Times New Roman"/>
          <w:b/>
          <w:iCs/>
          <w:u w:val="single"/>
        </w:rPr>
      </w:pPr>
      <w:r w:rsidRPr="004D0ADA">
        <w:rPr>
          <w:rFonts w:eastAsia="Times New Roman"/>
          <w:b/>
          <w:iCs/>
          <w:u w:val="single"/>
        </w:rPr>
        <w:lastRenderedPageBreak/>
        <w:t>Synergie s Interreg HU-SK</w:t>
      </w:r>
    </w:p>
    <w:p w:rsidR="004D0ADA" w:rsidRDefault="004D0ADA" w:rsidP="00D71C19">
      <w:pPr>
        <w:spacing w:line="240" w:lineRule="auto"/>
        <w:jc w:val="both"/>
        <w:rPr>
          <w:rFonts w:eastAsia="Times New Roman"/>
          <w:iCs/>
          <w:sz w:val="20"/>
          <w:szCs w:val="20"/>
        </w:rPr>
      </w:pPr>
      <w:r w:rsidRPr="004D0ADA">
        <w:rPr>
          <w:rFonts w:eastAsia="Times New Roman"/>
          <w:iCs/>
          <w:sz w:val="20"/>
          <w:szCs w:val="20"/>
        </w:rPr>
        <w:t xml:space="preserve">Synergie možno preukázať s územnými plánmi spravodlivého </w:t>
      </w:r>
      <w:r>
        <w:rPr>
          <w:rFonts w:eastAsia="Times New Roman"/>
          <w:iCs/>
          <w:sz w:val="20"/>
          <w:szCs w:val="20"/>
        </w:rPr>
        <w:t>transformácie (ÚPST)</w:t>
      </w:r>
      <w:r w:rsidRPr="004D0ADA">
        <w:rPr>
          <w:rFonts w:eastAsia="Times New Roman"/>
          <w:iCs/>
          <w:sz w:val="20"/>
          <w:szCs w:val="20"/>
        </w:rPr>
        <w:t>, ktoré sa vypracúvajú v Košick</w:t>
      </w:r>
      <w:r>
        <w:rPr>
          <w:rFonts w:eastAsia="Times New Roman"/>
          <w:iCs/>
          <w:sz w:val="20"/>
          <w:szCs w:val="20"/>
        </w:rPr>
        <w:t>om</w:t>
      </w:r>
      <w:r w:rsidRPr="004D0ADA">
        <w:rPr>
          <w:rFonts w:eastAsia="Times New Roman"/>
          <w:iCs/>
          <w:sz w:val="20"/>
          <w:szCs w:val="20"/>
        </w:rPr>
        <w:t xml:space="preserve"> </w:t>
      </w:r>
      <w:r>
        <w:rPr>
          <w:rFonts w:eastAsia="Times New Roman"/>
          <w:iCs/>
          <w:sz w:val="20"/>
          <w:szCs w:val="20"/>
        </w:rPr>
        <w:t>kraji</w:t>
      </w:r>
      <w:r w:rsidRPr="004D0ADA">
        <w:rPr>
          <w:rFonts w:eastAsia="Times New Roman"/>
          <w:iCs/>
          <w:sz w:val="20"/>
          <w:szCs w:val="20"/>
        </w:rPr>
        <w:t xml:space="preserve"> s cieľom znížiť sociálno-ekonomické náklady komunít, ktoré sú vysoko závislé od fosílnych palív a priemyslu náročného na emisie. Predpokladaný rozvoj </w:t>
      </w:r>
      <w:r>
        <w:rPr>
          <w:rFonts w:eastAsia="Times New Roman"/>
          <w:iCs/>
          <w:sz w:val="20"/>
          <w:szCs w:val="20"/>
        </w:rPr>
        <w:t>ÚPST</w:t>
      </w:r>
      <w:r w:rsidRPr="004D0ADA">
        <w:rPr>
          <w:rFonts w:eastAsia="Times New Roman"/>
          <w:iCs/>
          <w:sz w:val="20"/>
          <w:szCs w:val="20"/>
        </w:rPr>
        <w:t xml:space="preserve"> prispeje k dosiahnutiu cieľov programu najmä vo vzťahu k PO2 (prechod na zelené technológie a obehové, zelené hospodárstvo, nakladanie s odpadmi a znižovanie ich množstva,</w:t>
      </w:r>
      <w:r>
        <w:rPr>
          <w:rFonts w:eastAsia="Times New Roman"/>
          <w:iCs/>
          <w:sz w:val="20"/>
          <w:szCs w:val="20"/>
        </w:rPr>
        <w:t xml:space="preserve"> </w:t>
      </w:r>
      <w:r w:rsidRPr="004D0ADA">
        <w:rPr>
          <w:rFonts w:eastAsia="Times New Roman"/>
          <w:iCs/>
          <w:sz w:val="20"/>
          <w:szCs w:val="20"/>
        </w:rPr>
        <w:t>znižovanie znečistenia z ťažby, výroby energie a oceliarskeho priemyslu, revitalizácia priemyselných a banských lokalít), PO4 (rekvalifikácia, zvyšovanie kvalifikácie, programy zamestnanosti, podpora príležitostí pre zraniteľné skupiny).</w:t>
      </w:r>
    </w:p>
    <w:p w:rsidR="00761835" w:rsidRPr="00232CDF" w:rsidRDefault="00761835" w:rsidP="00761835">
      <w:pPr>
        <w:spacing w:line="240" w:lineRule="auto"/>
        <w:jc w:val="both"/>
        <w:rPr>
          <w:rFonts w:eastAsia="Times New Roman"/>
          <w:b/>
          <w:iCs/>
          <w:u w:val="single"/>
        </w:rPr>
      </w:pPr>
      <w:r w:rsidRPr="00232CDF">
        <w:rPr>
          <w:rFonts w:eastAsia="Times New Roman"/>
          <w:b/>
          <w:iCs/>
          <w:u w:val="single"/>
        </w:rPr>
        <w:t>Synergie s Interreg PL-SK</w:t>
      </w:r>
    </w:p>
    <w:p w:rsidR="00761835" w:rsidRPr="00232CDF" w:rsidRDefault="00761835" w:rsidP="00761835">
      <w:pPr>
        <w:spacing w:line="240" w:lineRule="auto"/>
        <w:jc w:val="both"/>
        <w:rPr>
          <w:rFonts w:eastAsia="Times New Roman"/>
          <w:b/>
          <w:iCs/>
          <w:u w:val="single"/>
        </w:rPr>
      </w:pPr>
      <w:r w:rsidRPr="00232CDF">
        <w:rPr>
          <w:rFonts w:eastAsia="Times New Roman"/>
          <w:iCs/>
          <w:sz w:val="20"/>
          <w:szCs w:val="20"/>
        </w:rPr>
        <w:t xml:space="preserve">Synergické efekty možno identifikovať v oblasti prispôsobovania sa </w:t>
      </w:r>
      <w:r w:rsidRPr="00232CDF">
        <w:rPr>
          <w:rFonts w:eastAsia="Times New Roman"/>
          <w:iCs/>
          <w:sz w:val="20"/>
        </w:rPr>
        <w:t>zmene klímy a predchádzania rizikám katastrof v cezhraničnom území (SO 2.4), ochrany a zachovania prírody, biodiverzity a zelenej infraštruktúry (SO 2.7).</w:t>
      </w:r>
    </w:p>
    <w:p w:rsidR="00761835" w:rsidRPr="004D0ADA" w:rsidRDefault="00761835" w:rsidP="00D71C19">
      <w:pPr>
        <w:spacing w:line="240" w:lineRule="auto"/>
        <w:jc w:val="both"/>
        <w:rPr>
          <w:rFonts w:eastAsia="Times New Roman"/>
          <w:iCs/>
          <w:sz w:val="20"/>
          <w:szCs w:val="20"/>
        </w:rPr>
      </w:pPr>
    </w:p>
    <w:p w:rsidR="006575B7" w:rsidRPr="00C54B4F" w:rsidRDefault="006575B7" w:rsidP="00C54B4F">
      <w:pPr>
        <w:jc w:val="both"/>
        <w:rPr>
          <w:b/>
          <w:u w:val="single"/>
        </w:rPr>
      </w:pPr>
      <w:r w:rsidRPr="00C54B4F">
        <w:rPr>
          <w:b/>
          <w:u w:val="single"/>
        </w:rPr>
        <w:t>Synergie s ostatnými nástrojmi podpory</w:t>
      </w:r>
    </w:p>
    <w:p w:rsidR="00EF0988" w:rsidRDefault="00D71C19" w:rsidP="00EF0988">
      <w:pPr>
        <w:spacing w:line="240" w:lineRule="auto"/>
        <w:jc w:val="both"/>
        <w:rPr>
          <w:rFonts w:eastAsia="Times New Roman"/>
          <w:sz w:val="20"/>
        </w:rPr>
      </w:pPr>
      <w:r>
        <w:rPr>
          <w:rFonts w:eastAsia="Times New Roman"/>
          <w:iCs/>
          <w:sz w:val="20"/>
        </w:rPr>
        <w:t xml:space="preserve">V oblasti alternatívnych palív (elektromobilita) bola identifikovaná synergia v rámci </w:t>
      </w:r>
      <w:r w:rsidRPr="008C7583">
        <w:rPr>
          <w:rFonts w:eastAsia="Times New Roman"/>
          <w:b/>
          <w:iCs/>
          <w:sz w:val="20"/>
          <w:u w:val="single"/>
        </w:rPr>
        <w:t>Nástroja na prepájanie Európy (CEF)</w:t>
      </w:r>
      <w:r>
        <w:rPr>
          <w:rFonts w:eastAsia="Times New Roman"/>
          <w:iCs/>
          <w:sz w:val="20"/>
        </w:rPr>
        <w:t xml:space="preserve">, </w:t>
      </w:r>
      <w:r w:rsidR="00C83EFB">
        <w:rPr>
          <w:rFonts w:eastAsia="Times New Roman"/>
          <w:iCs/>
          <w:sz w:val="20"/>
        </w:rPr>
        <w:t xml:space="preserve">pričom pri </w:t>
      </w:r>
      <w:r w:rsidR="00C83EFB" w:rsidRPr="00C83EFB">
        <w:rPr>
          <w:rFonts w:eastAsia="Times New Roman"/>
          <w:b/>
          <w:iCs/>
          <w:sz w:val="20"/>
          <w:u w:val="single"/>
        </w:rPr>
        <w:t>EFRR</w:t>
      </w:r>
      <w:r w:rsidRPr="00C83EFB">
        <w:rPr>
          <w:rFonts w:eastAsia="Times New Roman"/>
          <w:b/>
          <w:iCs/>
          <w:sz w:val="20"/>
          <w:u w:val="single"/>
        </w:rPr>
        <w:t xml:space="preserve"> v rámci CP 2</w:t>
      </w:r>
      <w:r>
        <w:rPr>
          <w:rFonts w:eastAsia="Times New Roman"/>
          <w:iCs/>
          <w:sz w:val="20"/>
        </w:rPr>
        <w:t xml:space="preserve"> bude podporená </w:t>
      </w:r>
      <w:r w:rsidRPr="00F71BDC">
        <w:rPr>
          <w:rFonts w:eastAsia="Times New Roman"/>
          <w:iCs/>
          <w:sz w:val="20"/>
        </w:rPr>
        <w:t>miestn</w:t>
      </w:r>
      <w:r>
        <w:rPr>
          <w:rFonts w:eastAsia="Times New Roman"/>
          <w:iCs/>
          <w:sz w:val="20"/>
        </w:rPr>
        <w:t>a</w:t>
      </w:r>
      <w:r w:rsidRPr="00F71BDC">
        <w:rPr>
          <w:rFonts w:eastAsia="Times New Roman"/>
          <w:iCs/>
          <w:sz w:val="20"/>
        </w:rPr>
        <w:t xml:space="preserve"> elektromobilit</w:t>
      </w:r>
      <w:r>
        <w:rPr>
          <w:rFonts w:eastAsia="Times New Roman"/>
          <w:iCs/>
          <w:sz w:val="20"/>
        </w:rPr>
        <w:t>a a mobilita</w:t>
      </w:r>
      <w:r w:rsidRPr="00F71BDC">
        <w:rPr>
          <w:rFonts w:eastAsia="Times New Roman"/>
          <w:iCs/>
          <w:sz w:val="20"/>
        </w:rPr>
        <w:t xml:space="preserve"> s nulovými emisiami </w:t>
      </w:r>
      <w:r>
        <w:rPr>
          <w:rFonts w:eastAsia="Times New Roman"/>
          <w:iCs/>
          <w:sz w:val="20"/>
        </w:rPr>
        <w:t>(</w:t>
      </w:r>
      <w:r w:rsidRPr="00F71BDC">
        <w:rPr>
          <w:rFonts w:eastAsia="Times New Roman"/>
          <w:iCs/>
          <w:sz w:val="20"/>
        </w:rPr>
        <w:t>investície do obstarávania ekologických vozidiel verejnej dopravy, rozvoja infraštruktúry na podporu mobility s nízkymi a nulovými emisiami vrátane elektromobility alebo projektov podporujúcich alternatívne dopravné prostriedky, napr. bicykle a inú mikromobilitu</w:t>
      </w:r>
      <w:r>
        <w:rPr>
          <w:rFonts w:eastAsia="Times New Roman"/>
          <w:iCs/>
          <w:sz w:val="20"/>
        </w:rPr>
        <w:t>)</w:t>
      </w:r>
      <w:r w:rsidRPr="00F71BDC">
        <w:rPr>
          <w:rFonts w:eastAsia="Times New Roman"/>
          <w:iCs/>
          <w:sz w:val="20"/>
        </w:rPr>
        <w:t xml:space="preserve">. </w:t>
      </w:r>
      <w:r w:rsidR="008C172E" w:rsidRPr="008C172E">
        <w:rPr>
          <w:rFonts w:eastAsia="Times New Roman"/>
          <w:iCs/>
          <w:sz w:val="20"/>
        </w:rPr>
        <w:t>Zároveň sa opiera o Akčný plán rozvoja elektromobility v Slovenskej republike a plnenie jeho cieľov (súvisiace typy projektov: investície do obstarávania ekologických vozidiel verejnej dopravy, rozvoja infraštruktúry na podporu mobility s nízkymi a nulovými emisiami vrátane elektromobility a vodíka alebo projektov podporujúcich alternatívne dopravné prostriedky</w:t>
      </w:r>
      <w:r w:rsidR="008C172E">
        <w:rPr>
          <w:rFonts w:eastAsia="Times New Roman"/>
          <w:iCs/>
          <w:sz w:val="20"/>
        </w:rPr>
        <w:t xml:space="preserve">. </w:t>
      </w:r>
      <w:r w:rsidRPr="00F71BDC">
        <w:rPr>
          <w:rFonts w:eastAsia="Times New Roman"/>
          <w:iCs/>
          <w:sz w:val="20"/>
        </w:rPr>
        <w:t>Nástroj CEF</w:t>
      </w:r>
      <w:r>
        <w:rPr>
          <w:rFonts w:eastAsia="Times New Roman"/>
          <w:iCs/>
          <w:sz w:val="20"/>
        </w:rPr>
        <w:t xml:space="preserve"> bude pokračovať </w:t>
      </w:r>
      <w:r w:rsidRPr="00F71BDC">
        <w:rPr>
          <w:rFonts w:eastAsia="Times New Roman"/>
          <w:iCs/>
          <w:sz w:val="20"/>
        </w:rPr>
        <w:t>v rozvoj</w:t>
      </w:r>
      <w:r>
        <w:rPr>
          <w:rFonts w:eastAsia="Times New Roman"/>
          <w:iCs/>
          <w:sz w:val="20"/>
        </w:rPr>
        <w:t>i</w:t>
      </w:r>
      <w:r w:rsidRPr="00F71BDC">
        <w:rPr>
          <w:rFonts w:eastAsia="Times New Roman"/>
          <w:iCs/>
          <w:sz w:val="20"/>
        </w:rPr>
        <w:t xml:space="preserve"> nabíjacej infraštruktúry</w:t>
      </w:r>
      <w:r>
        <w:rPr>
          <w:rFonts w:eastAsia="Times New Roman"/>
          <w:iCs/>
          <w:sz w:val="20"/>
        </w:rPr>
        <w:t xml:space="preserve">, </w:t>
      </w:r>
      <w:r w:rsidRPr="00F71BDC">
        <w:rPr>
          <w:rFonts w:eastAsia="Times New Roman"/>
          <w:iCs/>
          <w:sz w:val="20"/>
        </w:rPr>
        <w:t xml:space="preserve"> realizačn</w:t>
      </w:r>
      <w:r>
        <w:rPr>
          <w:rFonts w:eastAsia="Times New Roman"/>
          <w:iCs/>
          <w:sz w:val="20"/>
        </w:rPr>
        <w:t>ých</w:t>
      </w:r>
      <w:r w:rsidRPr="00F71BDC">
        <w:rPr>
          <w:rFonts w:eastAsia="Times New Roman"/>
          <w:iCs/>
          <w:sz w:val="20"/>
        </w:rPr>
        <w:t xml:space="preserve"> prác na inštaláciu rýchlo nabíjacích staníc pozdĺž základnej siete TEN-T a koridorov základnej siete TEN-T relevantných pre SR (Core Network a Core Network Corridors)</w:t>
      </w:r>
      <w:r>
        <w:rPr>
          <w:rFonts w:eastAsia="Times New Roman"/>
          <w:iCs/>
          <w:sz w:val="20"/>
        </w:rPr>
        <w:t>.</w:t>
      </w:r>
      <w:r w:rsidRPr="00F71BDC">
        <w:rPr>
          <w:rFonts w:eastAsia="Times New Roman"/>
          <w:iCs/>
          <w:sz w:val="20"/>
        </w:rPr>
        <w:t xml:space="preserve"> CEF podporuje okrem infraštruktúry pre elektromobilitu aj i</w:t>
      </w:r>
      <w:r>
        <w:rPr>
          <w:rFonts w:eastAsia="Times New Roman"/>
          <w:iCs/>
          <w:sz w:val="20"/>
        </w:rPr>
        <w:t>nfraštruktúru pre LNG a</w:t>
      </w:r>
      <w:r w:rsidR="004D7753">
        <w:rPr>
          <w:rFonts w:eastAsia="Times New Roman"/>
          <w:iCs/>
          <w:sz w:val="20"/>
        </w:rPr>
        <w:t> </w:t>
      </w:r>
      <w:r>
        <w:rPr>
          <w:rFonts w:eastAsia="Times New Roman"/>
          <w:iCs/>
          <w:sz w:val="20"/>
        </w:rPr>
        <w:t>vodík</w:t>
      </w:r>
      <w:r w:rsidR="004D7753">
        <w:rPr>
          <w:rFonts w:eastAsia="Times New Roman"/>
          <w:iCs/>
          <w:sz w:val="20"/>
        </w:rPr>
        <w:t xml:space="preserve"> </w:t>
      </w:r>
      <w:r w:rsidR="004D7753" w:rsidRPr="004D7753">
        <w:rPr>
          <w:rFonts w:eastAsia="Times New Roman"/>
          <w:iCs/>
          <w:sz w:val="20"/>
        </w:rPr>
        <w:t xml:space="preserve">(súvisiace typy podporovaných projektov: </w:t>
      </w:r>
      <w:r w:rsidR="004D7753">
        <w:rPr>
          <w:rFonts w:eastAsia="Times New Roman"/>
          <w:iCs/>
          <w:sz w:val="20"/>
        </w:rPr>
        <w:t>v</w:t>
      </w:r>
      <w:r w:rsidR="004D7753" w:rsidRPr="004D7753">
        <w:rPr>
          <w:rFonts w:eastAsia="Times New Roman"/>
          <w:iCs/>
          <w:sz w:val="20"/>
        </w:rPr>
        <w:t>erejne prístupné dobíjacie</w:t>
      </w:r>
      <w:r w:rsidR="004D7753">
        <w:rPr>
          <w:rFonts w:eastAsia="Times New Roman"/>
          <w:iCs/>
          <w:sz w:val="20"/>
        </w:rPr>
        <w:t xml:space="preserve">, </w:t>
      </w:r>
      <w:r w:rsidR="004D7753" w:rsidRPr="004D7753">
        <w:rPr>
          <w:rFonts w:eastAsia="Times New Roman"/>
          <w:iCs/>
          <w:sz w:val="20"/>
        </w:rPr>
        <w:t>vodíkové</w:t>
      </w:r>
      <w:r w:rsidR="004D7753">
        <w:rPr>
          <w:rFonts w:eastAsia="Times New Roman"/>
          <w:iCs/>
          <w:sz w:val="20"/>
        </w:rPr>
        <w:t xml:space="preserve">, </w:t>
      </w:r>
      <w:r w:rsidR="004D7753" w:rsidRPr="004D7753">
        <w:rPr>
          <w:rFonts w:eastAsia="Times New Roman"/>
          <w:iCs/>
          <w:sz w:val="20"/>
        </w:rPr>
        <w:t>LNG stanice pozdĺž cestnej siete TEN-T</w:t>
      </w:r>
      <w:r w:rsidR="004D7753">
        <w:rPr>
          <w:rFonts w:eastAsia="Times New Roman"/>
          <w:iCs/>
          <w:sz w:val="20"/>
        </w:rPr>
        <w:t xml:space="preserve"> </w:t>
      </w:r>
      <w:r w:rsidR="004D7753" w:rsidRPr="004D7753">
        <w:rPr>
          <w:rFonts w:eastAsia="Times New Roman"/>
          <w:iCs/>
          <w:sz w:val="20"/>
        </w:rPr>
        <w:t>na bezpečných parkoviskách</w:t>
      </w:r>
      <w:r w:rsidR="004D7753">
        <w:rPr>
          <w:rFonts w:eastAsia="Times New Roman"/>
          <w:iCs/>
          <w:sz w:val="20"/>
        </w:rPr>
        <w:t xml:space="preserve">, </w:t>
      </w:r>
      <w:r w:rsidR="004D7753" w:rsidRPr="004D7753">
        <w:rPr>
          <w:rFonts w:eastAsia="Times New Roman"/>
          <w:iCs/>
          <w:sz w:val="20"/>
        </w:rPr>
        <w:t>mestských uzloch</w:t>
      </w:r>
      <w:r w:rsidR="004D7753">
        <w:rPr>
          <w:rFonts w:eastAsia="Times New Roman"/>
          <w:iCs/>
          <w:sz w:val="20"/>
        </w:rPr>
        <w:t xml:space="preserve"> a </w:t>
      </w:r>
      <w:r w:rsidR="004D7753" w:rsidRPr="004D7753">
        <w:rPr>
          <w:rFonts w:eastAsia="Times New Roman"/>
          <w:iCs/>
          <w:sz w:val="20"/>
        </w:rPr>
        <w:t>vnútrozemských prístavoch)</w:t>
      </w:r>
      <w:r>
        <w:rPr>
          <w:rFonts w:eastAsia="Times New Roman"/>
          <w:iCs/>
          <w:sz w:val="20"/>
        </w:rPr>
        <w:t>.</w:t>
      </w:r>
      <w:r w:rsidR="00EF0988">
        <w:rPr>
          <w:rFonts w:eastAsia="Times New Roman"/>
          <w:sz w:val="20"/>
        </w:rPr>
        <w:t xml:space="preserve"> Nástroj</w:t>
      </w:r>
      <w:r w:rsidR="00EF0988" w:rsidRPr="005B272D">
        <w:rPr>
          <w:rFonts w:eastAsia="Times New Roman"/>
          <w:sz w:val="20"/>
        </w:rPr>
        <w:t xml:space="preserve"> slúži na podporu projektov inteligentných sietí s cezhraničným rozmerom, zaradených na zoznam projektov spoločného záujmu (PCI).</w:t>
      </w:r>
    </w:p>
    <w:p w:rsidR="00D71C19" w:rsidRPr="005B272D" w:rsidRDefault="00D71C19" w:rsidP="00D71C19">
      <w:pPr>
        <w:spacing w:line="240" w:lineRule="auto"/>
        <w:jc w:val="both"/>
        <w:rPr>
          <w:rFonts w:eastAsia="Times New Roman"/>
          <w:sz w:val="20"/>
        </w:rPr>
      </w:pPr>
      <w:r w:rsidRPr="008C7583">
        <w:rPr>
          <w:rFonts w:eastAsia="Times New Roman"/>
          <w:b/>
          <w:sz w:val="20"/>
          <w:u w:val="single"/>
        </w:rPr>
        <w:t>Horizont Európa</w:t>
      </w:r>
      <w:r w:rsidRPr="005B272D">
        <w:rPr>
          <w:rFonts w:eastAsia="Times New Roman"/>
          <w:sz w:val="20"/>
        </w:rPr>
        <w:t xml:space="preserve"> v oblasti zavádzania obnoviteľných zdrojov energie a ekologickej dopravy.</w:t>
      </w:r>
    </w:p>
    <w:p w:rsidR="00D71C19" w:rsidRPr="005B272D" w:rsidRDefault="00D71C19" w:rsidP="00D71C19">
      <w:pPr>
        <w:spacing w:line="240" w:lineRule="auto"/>
        <w:jc w:val="both"/>
        <w:rPr>
          <w:rFonts w:eastAsia="Times New Roman"/>
          <w:sz w:val="20"/>
        </w:rPr>
      </w:pPr>
      <w:r w:rsidRPr="008C7583">
        <w:rPr>
          <w:rFonts w:eastAsia="Times New Roman"/>
          <w:b/>
          <w:sz w:val="20"/>
          <w:u w:val="single"/>
        </w:rPr>
        <w:t>LIFE</w:t>
      </w:r>
      <w:r w:rsidRPr="005B272D">
        <w:rPr>
          <w:rFonts w:eastAsia="Times New Roman"/>
          <w:sz w:val="20"/>
        </w:rPr>
        <w:t xml:space="preserve"> v oblasti ochrany prírody biodiverzity, prechodu na obehové hospodárstvo, adaptácie na zmenu klímy a udržateľnej podpory obnoviteľných zdrojov energie. Synergické využitie so zdrojmi ENRAF.</w:t>
      </w:r>
    </w:p>
    <w:p w:rsidR="00D71C19" w:rsidRPr="005B272D" w:rsidRDefault="00D71C19" w:rsidP="00D71C19">
      <w:pPr>
        <w:spacing w:line="240" w:lineRule="auto"/>
        <w:jc w:val="both"/>
        <w:rPr>
          <w:rFonts w:eastAsia="Times New Roman"/>
          <w:sz w:val="20"/>
        </w:rPr>
      </w:pPr>
      <w:r w:rsidRPr="008C7583">
        <w:rPr>
          <w:rFonts w:eastAsia="Times New Roman"/>
          <w:b/>
          <w:sz w:val="20"/>
          <w:u w:val="single"/>
        </w:rPr>
        <w:t>Digitálna Európa</w:t>
      </w:r>
      <w:r w:rsidRPr="005B272D">
        <w:rPr>
          <w:rFonts w:eastAsia="Times New Roman"/>
          <w:sz w:val="20"/>
        </w:rPr>
        <w:t xml:space="preserve"> v oblasti super výkonnej výpočtovej techniky pri rozširovaní obnoviteľných zdrojov energie.</w:t>
      </w:r>
    </w:p>
    <w:p w:rsidR="00D71C19" w:rsidRPr="005B272D" w:rsidRDefault="00D71C19" w:rsidP="00D71C19">
      <w:pPr>
        <w:spacing w:line="240" w:lineRule="auto"/>
        <w:jc w:val="both"/>
        <w:rPr>
          <w:rFonts w:eastAsia="Times New Roman"/>
          <w:sz w:val="20"/>
        </w:rPr>
      </w:pPr>
      <w:r w:rsidRPr="008C7583">
        <w:rPr>
          <w:rFonts w:eastAsia="Times New Roman"/>
          <w:b/>
          <w:sz w:val="20"/>
          <w:u w:val="single"/>
        </w:rPr>
        <w:t>Erasmus+</w:t>
      </w:r>
      <w:r w:rsidRPr="005B272D">
        <w:rPr>
          <w:rFonts w:eastAsia="Times New Roman"/>
          <w:sz w:val="20"/>
        </w:rPr>
        <w:t xml:space="preserve"> v oblasti rozvoja vzdelávania a odbornej prípravy zameraného na podporu obnoviteľných zdrojov energie, </w:t>
      </w:r>
      <w:r w:rsidRPr="005B272D">
        <w:rPr>
          <w:rFonts w:eastAsia="Times New Roman"/>
          <w:bCs/>
          <w:sz w:val="20"/>
        </w:rPr>
        <w:t>zmenu klímy a environmentálne inžinierstvo.</w:t>
      </w:r>
    </w:p>
    <w:p w:rsidR="00D71C19" w:rsidRPr="005B272D" w:rsidRDefault="00D71C19" w:rsidP="00D71C19">
      <w:pPr>
        <w:spacing w:line="240" w:lineRule="auto"/>
        <w:jc w:val="both"/>
        <w:rPr>
          <w:rFonts w:eastAsia="Times New Roman"/>
          <w:sz w:val="20"/>
        </w:rPr>
      </w:pPr>
      <w:r w:rsidRPr="008C7583">
        <w:rPr>
          <w:rFonts w:eastAsia="Times New Roman"/>
          <w:b/>
          <w:sz w:val="20"/>
          <w:u w:val="single"/>
        </w:rPr>
        <w:t>rescEU</w:t>
      </w:r>
      <w:r w:rsidRPr="005B272D">
        <w:rPr>
          <w:rFonts w:eastAsia="Times New Roman"/>
          <w:sz w:val="20"/>
        </w:rPr>
        <w:t xml:space="preserve"> (Mechanizmus EÚ v oblasti civilnej ochrany) v oblasti posilnenia intervenčných kapacít záchranných zložiek a podpory opatrení nevyhnutných pre včasnú a efektívnu intervenciu. </w:t>
      </w:r>
    </w:p>
    <w:p w:rsidR="00D71C19" w:rsidRPr="005B272D" w:rsidRDefault="00D71C19" w:rsidP="00D71C19">
      <w:pPr>
        <w:spacing w:line="240" w:lineRule="auto"/>
        <w:jc w:val="both"/>
        <w:rPr>
          <w:rFonts w:eastAsia="Times New Roman"/>
          <w:iCs/>
          <w:sz w:val="20"/>
        </w:rPr>
      </w:pPr>
      <w:r w:rsidRPr="008C7583">
        <w:rPr>
          <w:rFonts w:eastAsia="Times New Roman"/>
          <w:b/>
          <w:iCs/>
          <w:sz w:val="20"/>
          <w:u w:val="single"/>
        </w:rPr>
        <w:t>Fond pre vnútornú bezpečnosť</w:t>
      </w:r>
      <w:r w:rsidRPr="005B272D">
        <w:rPr>
          <w:rFonts w:eastAsia="Times New Roman"/>
          <w:iCs/>
          <w:sz w:val="20"/>
          <w:u w:val="single"/>
        </w:rPr>
        <w:t xml:space="preserve"> </w:t>
      </w:r>
      <w:r w:rsidRPr="005B272D">
        <w:rPr>
          <w:rFonts w:eastAsia="Times New Roman"/>
          <w:iCs/>
          <w:sz w:val="20"/>
        </w:rPr>
        <w:t>v oblastiach súvisiacich s environmentálnou kriminalitou.</w:t>
      </w:r>
    </w:p>
    <w:p w:rsidR="00D71C19" w:rsidRDefault="00D71C19" w:rsidP="00D71C19">
      <w:pPr>
        <w:spacing w:line="240" w:lineRule="auto"/>
        <w:jc w:val="both"/>
        <w:rPr>
          <w:rFonts w:eastAsia="Times New Roman"/>
          <w:iCs/>
          <w:sz w:val="20"/>
        </w:rPr>
      </w:pPr>
      <w:r w:rsidRPr="008C7583">
        <w:rPr>
          <w:rFonts w:eastAsia="Times New Roman"/>
          <w:b/>
          <w:iCs/>
          <w:sz w:val="20"/>
          <w:u w:val="single"/>
        </w:rPr>
        <w:lastRenderedPageBreak/>
        <w:t>Modernizačný fond</w:t>
      </w:r>
      <w:r w:rsidRPr="005B272D">
        <w:rPr>
          <w:rFonts w:eastAsia="Times New Roman"/>
          <w:iCs/>
          <w:sz w:val="20"/>
        </w:rPr>
        <w:t xml:space="preserve"> v oblasti znižovania emisií skleníkových plynov, energetickej efektívnosti a výroby energie z OZE.</w:t>
      </w:r>
    </w:p>
    <w:p w:rsidR="00D71C19" w:rsidRDefault="00D71C19" w:rsidP="00EF0988">
      <w:pPr>
        <w:spacing w:before="120" w:after="0" w:line="240" w:lineRule="auto"/>
        <w:jc w:val="both"/>
        <w:rPr>
          <w:rFonts w:eastAsia="Times New Roman"/>
          <w:sz w:val="20"/>
        </w:rPr>
      </w:pPr>
      <w:r>
        <w:rPr>
          <w:rFonts w:eastAsia="Times New Roman"/>
          <w:sz w:val="20"/>
        </w:rPr>
        <w:t xml:space="preserve">V rámci podpory </w:t>
      </w:r>
      <w:r w:rsidRPr="008C7583">
        <w:rPr>
          <w:rFonts w:eastAsia="Times New Roman"/>
          <w:b/>
          <w:sz w:val="20"/>
          <w:u w:val="single"/>
        </w:rPr>
        <w:t>smart cities</w:t>
      </w:r>
      <w:r>
        <w:rPr>
          <w:rFonts w:eastAsia="Times New Roman"/>
          <w:sz w:val="20"/>
        </w:rPr>
        <w:t xml:space="preserve"> budú zabezpečené prípadné synergie vtedy, ak mestá</w:t>
      </w:r>
      <w:r w:rsidRPr="005E15D3">
        <w:rPr>
          <w:rFonts w:eastAsia="Times New Roman"/>
          <w:sz w:val="20"/>
        </w:rPr>
        <w:t xml:space="preserve"> získajú </w:t>
      </w:r>
      <w:r>
        <w:rPr>
          <w:rFonts w:eastAsia="Times New Roman"/>
          <w:sz w:val="20"/>
        </w:rPr>
        <w:t>finančné prostriedky</w:t>
      </w:r>
      <w:r w:rsidRPr="005E15D3">
        <w:rPr>
          <w:rFonts w:eastAsia="Times New Roman"/>
          <w:sz w:val="20"/>
        </w:rPr>
        <w:t xml:space="preserve"> z programu "100 klimaticky neutrálnych a int</w:t>
      </w:r>
      <w:r>
        <w:rPr>
          <w:rFonts w:eastAsia="Times New Roman"/>
          <w:sz w:val="20"/>
        </w:rPr>
        <w:t>el</w:t>
      </w:r>
      <w:r w:rsidR="00EF0988">
        <w:rPr>
          <w:rFonts w:eastAsia="Times New Roman"/>
          <w:sz w:val="20"/>
        </w:rPr>
        <w:t xml:space="preserve">igentných miest do roku 2030". </w:t>
      </w:r>
    </w:p>
    <w:p w:rsidR="00291A10" w:rsidRDefault="00291A10" w:rsidP="00D71C19">
      <w:pPr>
        <w:spacing w:line="240" w:lineRule="auto"/>
        <w:jc w:val="both"/>
        <w:rPr>
          <w:rFonts w:eastAsia="Times New Roman"/>
          <w:b/>
          <w:iCs/>
          <w:sz w:val="20"/>
          <w:u w:val="single"/>
        </w:rPr>
      </w:pPr>
    </w:p>
    <w:p w:rsidR="00D71C19" w:rsidRPr="00EF0988" w:rsidRDefault="00D71C19" w:rsidP="00D71C19">
      <w:pPr>
        <w:spacing w:line="240" w:lineRule="auto"/>
        <w:jc w:val="both"/>
        <w:rPr>
          <w:rFonts w:eastAsia="Times New Roman"/>
          <w:b/>
          <w:iCs/>
          <w:sz w:val="20"/>
          <w:u w:val="single"/>
        </w:rPr>
      </w:pPr>
      <w:r w:rsidRPr="00EF0988">
        <w:rPr>
          <w:rFonts w:eastAsia="Times New Roman"/>
          <w:b/>
          <w:iCs/>
          <w:sz w:val="20"/>
          <w:u w:val="single"/>
        </w:rPr>
        <w:t xml:space="preserve">Nástroj susedstva a rozvojovej a medzinárodnej spolupráce </w:t>
      </w:r>
      <w:r w:rsidR="00EF0988">
        <w:rPr>
          <w:rFonts w:eastAsia="Times New Roman"/>
          <w:b/>
          <w:iCs/>
          <w:sz w:val="20"/>
          <w:u w:val="single"/>
        </w:rPr>
        <w:t>(</w:t>
      </w:r>
      <w:r w:rsidRPr="00EF0988">
        <w:rPr>
          <w:rFonts w:eastAsia="Times New Roman"/>
          <w:b/>
          <w:iCs/>
          <w:sz w:val="20"/>
          <w:u w:val="single"/>
        </w:rPr>
        <w:t>NDICI)</w:t>
      </w:r>
    </w:p>
    <w:p w:rsidR="00D71C19" w:rsidRDefault="00D71C19" w:rsidP="00D71C19">
      <w:pPr>
        <w:shd w:val="clear" w:color="auto" w:fill="FFFFFF"/>
        <w:spacing w:line="240" w:lineRule="auto"/>
        <w:jc w:val="both"/>
        <w:rPr>
          <w:rFonts w:eastAsia="Times New Roman"/>
          <w:iCs/>
          <w:sz w:val="20"/>
        </w:rPr>
      </w:pPr>
      <w:r>
        <w:rPr>
          <w:rFonts w:eastAsia="Times New Roman"/>
          <w:iCs/>
          <w:sz w:val="20"/>
        </w:rPr>
        <w:t>NDICI</w:t>
      </w:r>
      <w:r w:rsidRPr="00DF5EEE">
        <w:rPr>
          <w:rFonts w:eastAsia="Times New Roman"/>
          <w:iCs/>
          <w:sz w:val="20"/>
        </w:rPr>
        <w:t xml:space="preserve"> je hlavným finančným nástrojom vonkajšej činnosti EÚ</w:t>
      </w:r>
      <w:r>
        <w:rPr>
          <w:rFonts w:eastAsia="Times New Roman"/>
          <w:iCs/>
          <w:sz w:val="20"/>
        </w:rPr>
        <w:t xml:space="preserve">, ktorého primárnym cieľom </w:t>
      </w:r>
      <w:r w:rsidRPr="006E434B">
        <w:rPr>
          <w:rFonts w:eastAsia="Times New Roman"/>
          <w:iCs/>
          <w:sz w:val="20"/>
        </w:rPr>
        <w:t>je upevňovať a presadzovať demokraciu, právny štát a ľudské práva, podporovať organizácie občianskej spoločnosti, ďalšiu stabilitu a mier a riešiť iné globálne výzvy</w:t>
      </w:r>
      <w:r>
        <w:rPr>
          <w:rFonts w:eastAsia="Times New Roman"/>
          <w:iCs/>
          <w:sz w:val="20"/>
        </w:rPr>
        <w:t xml:space="preserve">. </w:t>
      </w:r>
      <w:r w:rsidR="004010EB" w:rsidRPr="00FA1A54">
        <w:rPr>
          <w:rFonts w:eastAsia="Times New Roman"/>
          <w:iCs/>
          <w:sz w:val="20"/>
        </w:rPr>
        <w:t>Z</w:t>
      </w:r>
      <w:r w:rsidRPr="00FA1A54">
        <w:rPr>
          <w:rFonts w:eastAsia="Times New Roman"/>
          <w:iCs/>
          <w:sz w:val="20"/>
        </w:rPr>
        <w:t xml:space="preserve"> </w:t>
      </w:r>
      <w:r w:rsidRPr="00FA1A54">
        <w:rPr>
          <w:rFonts w:eastAsia="Times New Roman"/>
          <w:b/>
          <w:iCs/>
          <w:sz w:val="20"/>
        </w:rPr>
        <w:t>Nástroj</w:t>
      </w:r>
      <w:r w:rsidR="004010EB" w:rsidRPr="00FA1A54">
        <w:rPr>
          <w:rFonts w:eastAsia="Times New Roman"/>
          <w:b/>
          <w:iCs/>
          <w:sz w:val="20"/>
        </w:rPr>
        <w:t>a</w:t>
      </w:r>
      <w:r w:rsidRPr="00FA1A54">
        <w:rPr>
          <w:rFonts w:eastAsia="Times New Roman"/>
          <w:b/>
          <w:iCs/>
          <w:sz w:val="20"/>
        </w:rPr>
        <w:t xml:space="preserve"> susedstva</w:t>
      </w:r>
      <w:r w:rsidRPr="00FA1A54">
        <w:rPr>
          <w:rFonts w:eastAsia="Times New Roman"/>
          <w:iCs/>
          <w:sz w:val="20"/>
        </w:rPr>
        <w:t xml:space="preserve"> </w:t>
      </w:r>
      <w:r w:rsidR="004010EB" w:rsidRPr="00FA1A54">
        <w:rPr>
          <w:rFonts w:eastAsia="Times New Roman"/>
          <w:iCs/>
          <w:sz w:val="20"/>
        </w:rPr>
        <w:t xml:space="preserve">je </w:t>
      </w:r>
      <w:r w:rsidRPr="00FA1A54">
        <w:rPr>
          <w:rFonts w:eastAsia="Times New Roman"/>
          <w:iCs/>
          <w:sz w:val="20"/>
        </w:rPr>
        <w:t>možné identifikovať synergiu a komplementaritu</w:t>
      </w:r>
      <w:r w:rsidRPr="00FA1A54">
        <w:rPr>
          <w:rFonts w:eastAsia="Times New Roman"/>
          <w:b/>
          <w:iCs/>
          <w:sz w:val="20"/>
        </w:rPr>
        <w:t xml:space="preserve"> </w:t>
      </w:r>
      <w:r w:rsidRPr="00FA1A54">
        <w:rPr>
          <w:rFonts w:eastAsia="Times New Roman"/>
          <w:iCs/>
          <w:sz w:val="20"/>
        </w:rPr>
        <w:t>pre Cieľ politiky 2 v oblasti ochrany životného prostredia ako zmena klímy, udržateľná energia.</w:t>
      </w:r>
    </w:p>
    <w:p w:rsidR="00006013" w:rsidRDefault="0049541E" w:rsidP="00006013">
      <w:pPr>
        <w:rPr>
          <w:rFonts w:cstheme="minorHAnsi"/>
          <w:b/>
          <w:sz w:val="24"/>
          <w:szCs w:val="24"/>
        </w:rPr>
      </w:pPr>
      <w:r w:rsidRPr="000C0B7D">
        <w:rPr>
          <w:rFonts w:cstheme="minorHAnsi"/>
          <w:b/>
          <w:sz w:val="24"/>
          <w:szCs w:val="24"/>
        </w:rPr>
        <w:t>Cieľ politiky 3 Prepojenejšia Európa</w:t>
      </w:r>
    </w:p>
    <w:p w:rsidR="005C34A3" w:rsidRDefault="005C34A3" w:rsidP="005C34A3">
      <w:pPr>
        <w:spacing w:line="240" w:lineRule="auto"/>
        <w:jc w:val="both"/>
        <w:rPr>
          <w:rFonts w:eastAsia="Times New Roman"/>
          <w:b/>
          <w:iCs/>
          <w:sz w:val="20"/>
          <w:u w:val="single"/>
        </w:rPr>
      </w:pPr>
      <w:r w:rsidRPr="00F457A5">
        <w:rPr>
          <w:rFonts w:eastAsia="Times New Roman"/>
          <w:b/>
          <w:iCs/>
          <w:sz w:val="20"/>
          <w:u w:val="single"/>
        </w:rPr>
        <w:t>Stratégia udržateľnej a inteligentnej mobility</w:t>
      </w:r>
    </w:p>
    <w:p w:rsidR="005C34A3" w:rsidRDefault="005C34A3" w:rsidP="005C34A3">
      <w:pPr>
        <w:spacing w:line="240" w:lineRule="auto"/>
        <w:jc w:val="both"/>
        <w:rPr>
          <w:rFonts w:eastAsia="Times New Roman"/>
          <w:sz w:val="20"/>
        </w:rPr>
      </w:pPr>
      <w:r>
        <w:rPr>
          <w:rFonts w:eastAsia="Times New Roman"/>
          <w:sz w:val="20"/>
        </w:rPr>
        <w:t xml:space="preserve">V nadväznosti na </w:t>
      </w:r>
      <w:r w:rsidRPr="00015CC3">
        <w:rPr>
          <w:rFonts w:eastAsia="Times New Roman"/>
          <w:iCs/>
          <w:sz w:val="20"/>
        </w:rPr>
        <w:t>Stratégiu udržateľnej a inteligentnej mobility sa v</w:t>
      </w:r>
      <w:r w:rsidRPr="00F457A5">
        <w:rPr>
          <w:rFonts w:eastAsia="Times New Roman"/>
          <w:sz w:val="20"/>
        </w:rPr>
        <w:t xml:space="preserve"> rámci Špecifických cieľov 3.1 (sieť TEN-T) a 3.2 (mimo TEN-T) </w:t>
      </w:r>
      <w:r>
        <w:rPr>
          <w:rFonts w:eastAsia="Times New Roman"/>
          <w:sz w:val="20"/>
        </w:rPr>
        <w:t>budú realizovať</w:t>
      </w:r>
      <w:r w:rsidRPr="00F457A5">
        <w:rPr>
          <w:rFonts w:eastAsia="Times New Roman"/>
          <w:sz w:val="20"/>
        </w:rPr>
        <w:t xml:space="preserve"> predovšetkým aktivity smerujúce na modernizáciu, resp. renováciu železničných tratí (zlepšovanie vybraných technických parametrov železničnej dopravnej cesty, zvyšovanie kapacity, elektrifikácia tratí, dispečerizácia a interoperabilit</w:t>
      </w:r>
      <w:r>
        <w:rPr>
          <w:rFonts w:eastAsia="Times New Roman"/>
          <w:sz w:val="20"/>
        </w:rPr>
        <w:t>a</w:t>
      </w:r>
      <w:r w:rsidRPr="00F457A5">
        <w:rPr>
          <w:rFonts w:eastAsia="Times New Roman"/>
          <w:sz w:val="20"/>
        </w:rPr>
        <w:t xml:space="preserve"> tratí) a kľúčových železničných uzlov a časť alokácie je určená aj na výstavbu a modernizáciu terminálov intermodálnej prepravy. V rámci dunajskej a vážskej vodnej cesty budú v rámci PSK na začiatku programového obdobia (najmä vzhľadom na nízku alokáciu) implementované výlučne projekty na obstaranie predprojektovej a projektovej dokumentácie súvisiacich so zlepšením splavnosti dunajskej vodnej cesty.</w:t>
      </w:r>
    </w:p>
    <w:p w:rsidR="005C34A3" w:rsidRPr="000C0B7D" w:rsidRDefault="005C34A3" w:rsidP="00006013">
      <w:pPr>
        <w:rPr>
          <w:rFonts w:cstheme="minorHAnsi"/>
          <w:b/>
          <w:sz w:val="24"/>
          <w:szCs w:val="24"/>
        </w:rPr>
      </w:pPr>
    </w:p>
    <w:p w:rsidR="0049541E" w:rsidRDefault="00281F50" w:rsidP="00F25BEE">
      <w:pPr>
        <w:jc w:val="both"/>
        <w:rPr>
          <w:rFonts w:eastAsia="Times New Roman"/>
          <w:sz w:val="20"/>
        </w:rPr>
      </w:pPr>
      <w:r w:rsidRPr="005B272D">
        <w:rPr>
          <w:rFonts w:eastAsia="Times New Roman"/>
          <w:sz w:val="20"/>
        </w:rPr>
        <w:t xml:space="preserve">Prostriedky </w:t>
      </w:r>
      <w:r w:rsidRPr="00855D52">
        <w:rPr>
          <w:rFonts w:eastAsia="Times New Roman"/>
          <w:b/>
          <w:sz w:val="20"/>
          <w:u w:val="single"/>
        </w:rPr>
        <w:t>EFRR</w:t>
      </w:r>
      <w:r w:rsidRPr="005B272D">
        <w:rPr>
          <w:rFonts w:eastAsia="Times New Roman"/>
          <w:b/>
          <w:sz w:val="20"/>
        </w:rPr>
        <w:t>,</w:t>
      </w:r>
      <w:r w:rsidRPr="005B272D">
        <w:rPr>
          <w:rFonts w:eastAsia="Times New Roman"/>
          <w:sz w:val="20"/>
        </w:rPr>
        <w:t xml:space="preserve"> zamerané na výstavbu rýchlostných ciest, modernizáciu a výstavbu ciest I. triedy, podporu regionálnej železničnej dopravy</w:t>
      </w:r>
      <w:r w:rsidR="00237A0A">
        <w:rPr>
          <w:rFonts w:eastAsia="Times New Roman"/>
          <w:sz w:val="20"/>
        </w:rPr>
        <w:t xml:space="preserve"> (primárne mimo TEN-T)</w:t>
      </w:r>
      <w:r w:rsidRPr="005B272D">
        <w:rPr>
          <w:rFonts w:eastAsia="Times New Roman"/>
          <w:sz w:val="20"/>
        </w:rPr>
        <w:t>, zlepšenie regionálnej dopravnej obslužnosti, vrátane infraštruktúry a rozvoja cyklodopravy</w:t>
      </w:r>
      <w:r w:rsidR="00C111E0">
        <w:rPr>
          <w:rFonts w:eastAsia="Times New Roman"/>
          <w:sz w:val="20"/>
        </w:rPr>
        <w:t xml:space="preserve"> (ako pridruženej investície k projektom ciest I. triedy)</w:t>
      </w:r>
      <w:r w:rsidRPr="005B272D">
        <w:rPr>
          <w:rFonts w:eastAsia="Times New Roman"/>
          <w:sz w:val="20"/>
        </w:rPr>
        <w:t xml:space="preserve"> a jej infraštruktúry, budú komplementárne využívané s prostriedkami </w:t>
      </w:r>
      <w:r w:rsidRPr="00EF0988">
        <w:rPr>
          <w:rFonts w:eastAsia="Times New Roman"/>
          <w:b/>
          <w:sz w:val="20"/>
          <w:u w:val="single"/>
        </w:rPr>
        <w:t>KF</w:t>
      </w:r>
      <w:r w:rsidRPr="005B272D">
        <w:rPr>
          <w:rFonts w:eastAsia="Times New Roman"/>
          <w:b/>
          <w:sz w:val="20"/>
        </w:rPr>
        <w:t xml:space="preserve"> </w:t>
      </w:r>
      <w:r w:rsidRPr="005B272D">
        <w:rPr>
          <w:rFonts w:eastAsia="Times New Roman"/>
          <w:sz w:val="20"/>
        </w:rPr>
        <w:t>najmä v oblasti dobudovania diaľničných spojení TEN-T</w:t>
      </w:r>
      <w:r w:rsidR="00C111E0">
        <w:rPr>
          <w:rFonts w:eastAsia="Times New Roman"/>
          <w:sz w:val="20"/>
        </w:rPr>
        <w:t>,</w:t>
      </w:r>
      <w:r w:rsidRPr="005B272D">
        <w:rPr>
          <w:rFonts w:eastAsia="Times New Roman"/>
          <w:sz w:val="20"/>
        </w:rPr>
        <w:t xml:space="preserve"> modernizácie železničnej infraštruktúry TEN-T, vrátane uzlov</w:t>
      </w:r>
      <w:r w:rsidR="00C111E0">
        <w:rPr>
          <w:rFonts w:eastAsia="Times New Roman"/>
          <w:sz w:val="20"/>
        </w:rPr>
        <w:t xml:space="preserve"> a projektovej prípravy projektov vodnej dopravy</w:t>
      </w:r>
      <w:r w:rsidRPr="005B272D">
        <w:rPr>
          <w:rFonts w:eastAsia="Times New Roman"/>
          <w:sz w:val="20"/>
        </w:rPr>
        <w:t>.</w:t>
      </w:r>
    </w:p>
    <w:p w:rsidR="000D1A10" w:rsidRPr="00C54B4F" w:rsidRDefault="00E82A90" w:rsidP="00C54B4F">
      <w:pPr>
        <w:jc w:val="both"/>
        <w:rPr>
          <w:b/>
          <w:u w:val="single"/>
        </w:rPr>
      </w:pPr>
      <w:r w:rsidRPr="00C54B4F">
        <w:rPr>
          <w:b/>
          <w:u w:val="single"/>
        </w:rPr>
        <w:t>Synergie s</w:t>
      </w:r>
      <w:r w:rsidR="000D1A10" w:rsidRPr="00C54B4F">
        <w:rPr>
          <w:b/>
          <w:u w:val="single"/>
        </w:rPr>
        <w:t xml:space="preserve"> POO</w:t>
      </w:r>
    </w:p>
    <w:p w:rsidR="0075585D" w:rsidRPr="00FA1A54" w:rsidRDefault="00855D52" w:rsidP="005C34A3">
      <w:pPr>
        <w:spacing w:before="160" w:after="0" w:line="240" w:lineRule="auto"/>
        <w:jc w:val="both"/>
        <w:rPr>
          <w:rFonts w:eastAsia="Times New Roman"/>
          <w:sz w:val="20"/>
        </w:rPr>
      </w:pPr>
      <w:r w:rsidRPr="0075585D">
        <w:rPr>
          <w:rFonts w:eastAsia="Times New Roman"/>
          <w:b/>
          <w:sz w:val="20"/>
          <w:u w:val="single"/>
        </w:rPr>
        <w:t>Z POO</w:t>
      </w:r>
      <w:r w:rsidRPr="005C34A3">
        <w:rPr>
          <w:rFonts w:eastAsia="Times New Roman"/>
          <w:b/>
          <w:sz w:val="20"/>
        </w:rPr>
        <w:t xml:space="preserve"> </w:t>
      </w:r>
      <w:r>
        <w:rPr>
          <w:rFonts w:eastAsia="Times New Roman"/>
          <w:sz w:val="20"/>
        </w:rPr>
        <w:t xml:space="preserve">sa budú podporovať </w:t>
      </w:r>
      <w:r w:rsidRPr="00CC4EFF">
        <w:rPr>
          <w:rFonts w:eastAsia="Times New Roman"/>
          <w:sz w:val="20"/>
        </w:rPr>
        <w:t>projekty konštrukčných prác (elektrifikácia, resp. modernizácia trate)</w:t>
      </w:r>
      <w:r w:rsidR="0075585D">
        <w:rPr>
          <w:rFonts w:eastAsia="Times New Roman"/>
          <w:sz w:val="20"/>
        </w:rPr>
        <w:t>,</w:t>
      </w:r>
      <w:r w:rsidRPr="00CC4EFF">
        <w:rPr>
          <w:rFonts w:eastAsia="Times New Roman"/>
          <w:sz w:val="20"/>
        </w:rPr>
        <w:t xml:space="preserve"> "digitálne" projekty (dispečerizácia a bezpečnosť trate)</w:t>
      </w:r>
      <w:r w:rsidR="0075585D">
        <w:rPr>
          <w:rFonts w:eastAsia="Times New Roman"/>
          <w:sz w:val="20"/>
        </w:rPr>
        <w:t xml:space="preserve"> v rámci TEN-T a aj mimo siete TEN-T. P</w:t>
      </w:r>
      <w:r w:rsidR="0075585D" w:rsidRPr="00CC4EFF">
        <w:rPr>
          <w:rFonts w:eastAsia="Times New Roman"/>
          <w:sz w:val="20"/>
        </w:rPr>
        <w:t>odpora</w:t>
      </w:r>
      <w:r w:rsidR="0075585D">
        <w:rPr>
          <w:rFonts w:eastAsia="Times New Roman"/>
          <w:sz w:val="20"/>
        </w:rPr>
        <w:t xml:space="preserve"> bude smerovať aj do</w:t>
      </w:r>
      <w:r w:rsidR="0075585D" w:rsidRPr="00CC4EFF">
        <w:rPr>
          <w:rFonts w:eastAsia="Times New Roman"/>
          <w:sz w:val="20"/>
        </w:rPr>
        <w:t xml:space="preserve"> obnovy koľajových vozidiel verejnej osobnej dopravy (vlakových súp</w:t>
      </w:r>
      <w:r w:rsidR="0075585D">
        <w:rPr>
          <w:rFonts w:eastAsia="Times New Roman"/>
          <w:sz w:val="20"/>
        </w:rPr>
        <w:t>rav, rušňov)</w:t>
      </w:r>
      <w:r w:rsidRPr="00CC4EFF">
        <w:rPr>
          <w:rFonts w:eastAsia="Times New Roman"/>
          <w:sz w:val="20"/>
        </w:rPr>
        <w:t xml:space="preserve">. </w:t>
      </w:r>
      <w:r w:rsidR="0075585D" w:rsidRPr="00FA1A54">
        <w:rPr>
          <w:rFonts w:eastAsia="Times New Roman"/>
          <w:b/>
          <w:sz w:val="20"/>
          <w:u w:val="single"/>
        </w:rPr>
        <w:t>Z</w:t>
      </w:r>
      <w:r w:rsidR="00C111E0">
        <w:rPr>
          <w:rFonts w:eastAsia="Times New Roman"/>
          <w:b/>
          <w:sz w:val="20"/>
          <w:u w:val="single"/>
        </w:rPr>
        <w:t> </w:t>
      </w:r>
      <w:r w:rsidR="0075585D" w:rsidRPr="00FA1A54">
        <w:rPr>
          <w:rFonts w:eastAsia="Times New Roman"/>
          <w:b/>
          <w:sz w:val="20"/>
          <w:u w:val="single"/>
        </w:rPr>
        <w:t>EFRR</w:t>
      </w:r>
      <w:r w:rsidR="00C111E0">
        <w:rPr>
          <w:rFonts w:eastAsia="Times New Roman"/>
          <w:b/>
          <w:sz w:val="20"/>
          <w:u w:val="single"/>
        </w:rPr>
        <w:t xml:space="preserve"> a KF</w:t>
      </w:r>
      <w:r w:rsidR="0075585D">
        <w:rPr>
          <w:rFonts w:eastAsia="Times New Roman"/>
          <w:sz w:val="20"/>
        </w:rPr>
        <w:t xml:space="preserve"> sa podporí dispečerizácia, elektrifikácia</w:t>
      </w:r>
      <w:r w:rsidR="0075585D" w:rsidRPr="00FA1A54">
        <w:rPr>
          <w:rFonts w:eastAsia="Times New Roman"/>
          <w:sz w:val="20"/>
        </w:rPr>
        <w:t xml:space="preserve"> tratí a modernizácie železničných t</w:t>
      </w:r>
      <w:r w:rsidR="0075585D">
        <w:rPr>
          <w:rFonts w:eastAsia="Times New Roman"/>
          <w:sz w:val="20"/>
        </w:rPr>
        <w:t xml:space="preserve">ratí (determinované operácie), </w:t>
      </w:r>
      <w:r w:rsidR="002C6294">
        <w:rPr>
          <w:rFonts w:eastAsia="Times New Roman"/>
          <w:sz w:val="20"/>
        </w:rPr>
        <w:t>vyberaných železničných tratí zaradených</w:t>
      </w:r>
      <w:r w:rsidR="0075585D" w:rsidRPr="00FA1A54">
        <w:rPr>
          <w:rFonts w:eastAsia="Times New Roman"/>
          <w:sz w:val="20"/>
        </w:rPr>
        <w:t xml:space="preserve"> do TEN-T - trasa Žilina - Košice - št.hr. SR/UA, Žilina - št. hr. SR/ČR a št. hr. ČR/SR - Kúty - Brati</w:t>
      </w:r>
      <w:r w:rsidR="0075585D">
        <w:rPr>
          <w:rFonts w:eastAsia="Times New Roman"/>
          <w:sz w:val="20"/>
        </w:rPr>
        <w:t>slava - Štúrovo - št. hr. SR/HU,</w:t>
      </w:r>
      <w:r w:rsidR="0075585D" w:rsidRPr="00FA1A54">
        <w:rPr>
          <w:rFonts w:eastAsia="Times New Roman"/>
          <w:sz w:val="20"/>
        </w:rPr>
        <w:t xml:space="preserve"> budovanie ERTMS a kľúčové uzly na koridorových tratiach (Bratislava, Košice, Žilina). </w:t>
      </w:r>
      <w:r w:rsidR="002C6294">
        <w:rPr>
          <w:rFonts w:eastAsia="Times New Roman"/>
          <w:sz w:val="20"/>
        </w:rPr>
        <w:t xml:space="preserve">Zároveň </w:t>
      </w:r>
      <w:r w:rsidR="002C6294" w:rsidRPr="00CC4EFF">
        <w:rPr>
          <w:rFonts w:eastAsia="Times New Roman"/>
          <w:sz w:val="20"/>
        </w:rPr>
        <w:t>sa bude podporovať dispečerizácia, elektrifikácia, rekonštrukcie, resp. modernizácie železničných tratí (vybrané proj</w:t>
      </w:r>
      <w:r w:rsidR="002C6294">
        <w:rPr>
          <w:rFonts w:eastAsia="Times New Roman"/>
          <w:sz w:val="20"/>
        </w:rPr>
        <w:t>ektové úseky mimo siete TEN-T),</w:t>
      </w:r>
      <w:r w:rsidR="002C6294" w:rsidRPr="002C6294">
        <w:rPr>
          <w:rFonts w:eastAsia="Times New Roman"/>
          <w:sz w:val="20"/>
        </w:rPr>
        <w:t xml:space="preserve"> </w:t>
      </w:r>
      <w:r w:rsidR="002C6294">
        <w:rPr>
          <w:rFonts w:eastAsia="Times New Roman"/>
          <w:sz w:val="20"/>
        </w:rPr>
        <w:t>renovácia regionálnych železničných</w:t>
      </w:r>
      <w:r w:rsidR="002C6294" w:rsidRPr="00CC4EFF">
        <w:rPr>
          <w:rFonts w:eastAsia="Times New Roman"/>
          <w:sz w:val="20"/>
        </w:rPr>
        <w:t xml:space="preserve"> tratí, obnova mobilných prostriedkov žel</w:t>
      </w:r>
      <w:r w:rsidR="002C6294">
        <w:rPr>
          <w:rFonts w:eastAsia="Times New Roman"/>
          <w:sz w:val="20"/>
        </w:rPr>
        <w:t>ezničnej</w:t>
      </w:r>
      <w:r w:rsidR="002C6294" w:rsidRPr="00CC4EFF">
        <w:rPr>
          <w:rFonts w:eastAsia="Times New Roman"/>
          <w:sz w:val="20"/>
        </w:rPr>
        <w:t xml:space="preserve"> osob</w:t>
      </w:r>
      <w:r w:rsidR="002C6294">
        <w:rPr>
          <w:rFonts w:eastAsia="Times New Roman"/>
          <w:sz w:val="20"/>
        </w:rPr>
        <w:t>nej</w:t>
      </w:r>
      <w:r w:rsidR="002C6294" w:rsidRPr="00CC4EFF">
        <w:rPr>
          <w:rFonts w:eastAsia="Times New Roman"/>
          <w:sz w:val="20"/>
        </w:rPr>
        <w:t xml:space="preserve"> dopravy, železničné priecestia</w:t>
      </w:r>
      <w:r w:rsidR="004017E8">
        <w:rPr>
          <w:rFonts w:eastAsia="Times New Roman"/>
          <w:sz w:val="20"/>
        </w:rPr>
        <w:t xml:space="preserve"> a</w:t>
      </w:r>
      <w:r w:rsidR="002C6294" w:rsidRPr="00CC4EFF">
        <w:rPr>
          <w:rFonts w:eastAsia="Times New Roman"/>
          <w:sz w:val="20"/>
        </w:rPr>
        <w:t xml:space="preserve"> rekonšt</w:t>
      </w:r>
      <w:r w:rsidR="002C6294">
        <w:rPr>
          <w:rFonts w:eastAsia="Times New Roman"/>
          <w:sz w:val="20"/>
        </w:rPr>
        <w:t>rukcie</w:t>
      </w:r>
      <w:r w:rsidR="002C6294" w:rsidRPr="00CC4EFF">
        <w:rPr>
          <w:rFonts w:eastAsia="Times New Roman"/>
          <w:sz w:val="20"/>
        </w:rPr>
        <w:t xml:space="preserve"> staničných budov.</w:t>
      </w:r>
    </w:p>
    <w:p w:rsidR="00FA1A54" w:rsidRDefault="00855D52" w:rsidP="005C34A3">
      <w:pPr>
        <w:spacing w:before="160" w:after="0" w:line="240" w:lineRule="auto"/>
        <w:jc w:val="both"/>
        <w:rPr>
          <w:rFonts w:eastAsia="Times New Roman"/>
          <w:sz w:val="20"/>
        </w:rPr>
      </w:pPr>
      <w:r w:rsidRPr="00CC4EFF">
        <w:rPr>
          <w:rFonts w:eastAsia="Times New Roman"/>
          <w:sz w:val="20"/>
        </w:rPr>
        <w:lastRenderedPageBreak/>
        <w:t xml:space="preserve">Prostriedky </w:t>
      </w:r>
      <w:r w:rsidRPr="00855D52">
        <w:rPr>
          <w:rFonts w:eastAsia="Times New Roman"/>
          <w:b/>
          <w:sz w:val="20"/>
          <w:u w:val="single"/>
        </w:rPr>
        <w:t>POO</w:t>
      </w:r>
      <w:r w:rsidRPr="00CC4EFF">
        <w:rPr>
          <w:rFonts w:eastAsia="Times New Roman"/>
          <w:sz w:val="20"/>
        </w:rPr>
        <w:t xml:space="preserve"> </w:t>
      </w:r>
      <w:r w:rsidR="0075585D">
        <w:rPr>
          <w:rFonts w:eastAsia="Times New Roman"/>
          <w:sz w:val="20"/>
        </w:rPr>
        <w:t>budú smerovať na</w:t>
      </w:r>
      <w:r w:rsidR="0075585D" w:rsidRPr="00855D52">
        <w:rPr>
          <w:rFonts w:eastAsia="Times New Roman"/>
          <w:sz w:val="20"/>
        </w:rPr>
        <w:t xml:space="preserve"> nákup technológii pre intermodálnu dopravu (manipulovateľné návesy, výmenné nadstavby, dvojpaletové kontinentálne kontajnery, cestné nosiče výmenných nadstavieb,..), intermodálnych železničných vozňov, podpora rozbehu nových pravidelných liniek vlakov intermodálnej dopravy</w:t>
      </w:r>
      <w:r w:rsidR="0075585D">
        <w:rPr>
          <w:rFonts w:eastAsia="Times New Roman"/>
          <w:sz w:val="20"/>
        </w:rPr>
        <w:t>.</w:t>
      </w:r>
      <w:r w:rsidRPr="00CC4EFF">
        <w:rPr>
          <w:rFonts w:eastAsia="Times New Roman"/>
          <w:sz w:val="20"/>
        </w:rPr>
        <w:t xml:space="preserve"> Z</w:t>
      </w:r>
      <w:r>
        <w:rPr>
          <w:rFonts w:eastAsia="Times New Roman"/>
          <w:sz w:val="20"/>
        </w:rPr>
        <w:t> </w:t>
      </w:r>
      <w:r w:rsidRPr="00855D52">
        <w:rPr>
          <w:rFonts w:eastAsia="Times New Roman"/>
          <w:b/>
          <w:sz w:val="20"/>
          <w:u w:val="single"/>
        </w:rPr>
        <w:t>EFRR</w:t>
      </w:r>
      <w:r>
        <w:rPr>
          <w:rFonts w:eastAsia="Times New Roman"/>
          <w:sz w:val="20"/>
        </w:rPr>
        <w:t xml:space="preserve"> </w:t>
      </w:r>
      <w:r w:rsidRPr="00CC4EFF">
        <w:rPr>
          <w:rFonts w:eastAsia="Times New Roman"/>
          <w:sz w:val="20"/>
        </w:rPr>
        <w:t>sa</w:t>
      </w:r>
      <w:r w:rsidR="0075585D">
        <w:rPr>
          <w:rFonts w:eastAsia="Times New Roman"/>
          <w:sz w:val="20"/>
        </w:rPr>
        <w:t xml:space="preserve"> s</w:t>
      </w:r>
      <w:r w:rsidRPr="00CC4EFF">
        <w:rPr>
          <w:rFonts w:eastAsia="Times New Roman"/>
          <w:sz w:val="20"/>
        </w:rPr>
        <w:t xml:space="preserve"> podporou takýchto aktivít neuvažuje a počíta sa s podporou budovania nových a modernizáciou existujúcich intermodálnych terminálov pre nákladnú dopravu.</w:t>
      </w:r>
    </w:p>
    <w:p w:rsidR="002F51E1" w:rsidRDefault="00855D52" w:rsidP="005C34A3">
      <w:pPr>
        <w:spacing w:before="160" w:after="0" w:line="240" w:lineRule="auto"/>
        <w:jc w:val="both"/>
        <w:rPr>
          <w:rFonts w:eastAsia="Times New Roman"/>
          <w:sz w:val="20"/>
        </w:rPr>
      </w:pPr>
      <w:r w:rsidRPr="00855D52">
        <w:rPr>
          <w:rFonts w:eastAsia="Times New Roman"/>
          <w:b/>
          <w:sz w:val="20"/>
          <w:u w:val="single"/>
        </w:rPr>
        <w:t>Z EFRR</w:t>
      </w:r>
      <w:r>
        <w:rPr>
          <w:rFonts w:eastAsia="Times New Roman"/>
          <w:sz w:val="20"/>
        </w:rPr>
        <w:t xml:space="preserve"> sa rieši </w:t>
      </w:r>
      <w:r w:rsidRPr="00855D52">
        <w:rPr>
          <w:rFonts w:eastAsia="Times New Roman"/>
          <w:sz w:val="20"/>
        </w:rPr>
        <w:t xml:space="preserve">modernizácia, rekonštrukcia a výstavba ciest II. a III. triedy a ich objektov (mosty, priepusty); pešia a cyklistická doprava (priechody, prejazdy...) aj v oblastiach marginalizovaných rómskych komunít. </w:t>
      </w:r>
      <w:r>
        <w:rPr>
          <w:rFonts w:eastAsia="Times New Roman"/>
          <w:sz w:val="20"/>
        </w:rPr>
        <w:t>V</w:t>
      </w:r>
      <w:r w:rsidRPr="00855D52">
        <w:rPr>
          <w:rFonts w:eastAsia="Times New Roman"/>
          <w:sz w:val="20"/>
        </w:rPr>
        <w:t xml:space="preserve"> rámci </w:t>
      </w:r>
      <w:r w:rsidRPr="00855D52">
        <w:rPr>
          <w:rFonts w:eastAsia="Times New Roman"/>
          <w:b/>
          <w:sz w:val="20"/>
          <w:u w:val="single"/>
        </w:rPr>
        <w:t>POO</w:t>
      </w:r>
      <w:r w:rsidRPr="00855D52">
        <w:rPr>
          <w:rFonts w:eastAsia="Times New Roman"/>
          <w:sz w:val="20"/>
        </w:rPr>
        <w:t xml:space="preserve"> nebudú realizované investície do cestnej infraštruktúry</w:t>
      </w:r>
      <w:r w:rsidR="004A55DB">
        <w:rPr>
          <w:rFonts w:eastAsia="Times New Roman"/>
          <w:sz w:val="20"/>
        </w:rPr>
        <w:t>.</w:t>
      </w:r>
    </w:p>
    <w:p w:rsidR="00A461E4" w:rsidRDefault="00A461E4" w:rsidP="004A55DB">
      <w:pPr>
        <w:spacing w:after="0" w:line="240" w:lineRule="auto"/>
        <w:jc w:val="both"/>
        <w:rPr>
          <w:rFonts w:eastAsia="Times New Roman"/>
          <w:sz w:val="20"/>
        </w:rPr>
      </w:pPr>
    </w:p>
    <w:p w:rsidR="00A461E4" w:rsidRDefault="00A461E4" w:rsidP="004A55DB">
      <w:pPr>
        <w:spacing w:after="0" w:line="240" w:lineRule="auto"/>
        <w:jc w:val="both"/>
        <w:rPr>
          <w:rFonts w:eastAsia="Times New Roman"/>
          <w:b/>
          <w:u w:val="single"/>
        </w:rPr>
      </w:pPr>
      <w:r w:rsidRPr="00A461E4">
        <w:rPr>
          <w:rFonts w:eastAsia="Times New Roman"/>
          <w:b/>
          <w:u w:val="single"/>
        </w:rPr>
        <w:t>Synergie s Interreg Stredná Európa</w:t>
      </w:r>
    </w:p>
    <w:p w:rsidR="00A461E4" w:rsidRDefault="00A461E4" w:rsidP="004A55DB">
      <w:pPr>
        <w:spacing w:after="0" w:line="240" w:lineRule="auto"/>
        <w:jc w:val="both"/>
        <w:rPr>
          <w:rFonts w:eastAsia="Times New Roman"/>
          <w:b/>
          <w:u w:val="single"/>
        </w:rPr>
      </w:pPr>
    </w:p>
    <w:p w:rsidR="00A461E4" w:rsidRPr="00A461E4" w:rsidRDefault="00F501E8" w:rsidP="00A461E4">
      <w:pPr>
        <w:spacing w:after="0" w:line="240" w:lineRule="auto"/>
        <w:jc w:val="both"/>
        <w:rPr>
          <w:rFonts w:eastAsia="Times New Roman"/>
          <w:sz w:val="20"/>
          <w:szCs w:val="20"/>
        </w:rPr>
      </w:pPr>
      <w:r>
        <w:rPr>
          <w:rFonts w:eastAsia="Times New Roman"/>
          <w:sz w:val="20"/>
          <w:szCs w:val="20"/>
        </w:rPr>
        <w:t>Program</w:t>
      </w:r>
      <w:r w:rsidR="00A461E4" w:rsidRPr="00A461E4">
        <w:rPr>
          <w:rFonts w:eastAsia="Times New Roman"/>
          <w:sz w:val="20"/>
          <w:szCs w:val="20"/>
        </w:rPr>
        <w:t xml:space="preserve"> Slovensko sa zameriava na financovanie výstavby a modernizácie štátnych a krajských ciest, rozvoj železničnej siete a dopravnej infraštruktúry v rámci subregiónov. Prostriedky programu Stredná Európa sú určené na zdokonaľovanie politík súvisiacich s udržateľnou dopravou, a nie na financovanie samotnej cestnej infraštruktúry.</w:t>
      </w:r>
    </w:p>
    <w:p w:rsidR="00375557" w:rsidRDefault="00375557" w:rsidP="002F51E1">
      <w:pPr>
        <w:spacing w:after="0" w:line="240" w:lineRule="auto"/>
        <w:jc w:val="both"/>
        <w:rPr>
          <w:rFonts w:eastAsia="Times New Roman"/>
          <w:sz w:val="20"/>
        </w:rPr>
      </w:pPr>
    </w:p>
    <w:p w:rsidR="00D71C19" w:rsidRPr="00EF0988" w:rsidRDefault="00D71C19" w:rsidP="00EF0988">
      <w:pPr>
        <w:jc w:val="both"/>
        <w:rPr>
          <w:b/>
          <w:u w:val="single"/>
        </w:rPr>
      </w:pPr>
      <w:r w:rsidRPr="00EF0988">
        <w:rPr>
          <w:b/>
          <w:u w:val="single"/>
        </w:rPr>
        <w:t>Synergie s ostatnými nástrojmi podpory</w:t>
      </w:r>
    </w:p>
    <w:p w:rsidR="00D71C19" w:rsidRPr="005B272D" w:rsidRDefault="00D71C19" w:rsidP="00D71C19">
      <w:pPr>
        <w:spacing w:line="240" w:lineRule="auto"/>
        <w:jc w:val="both"/>
        <w:rPr>
          <w:rFonts w:eastAsia="Times New Roman"/>
          <w:sz w:val="20"/>
          <w:u w:val="single"/>
        </w:rPr>
      </w:pPr>
      <w:r w:rsidRPr="008C7583">
        <w:rPr>
          <w:rFonts w:eastAsia="Times New Roman"/>
          <w:b/>
          <w:sz w:val="20"/>
          <w:u w:val="single"/>
        </w:rPr>
        <w:t>Horizont Európa</w:t>
      </w:r>
      <w:r w:rsidRPr="005B272D">
        <w:rPr>
          <w:rFonts w:eastAsia="Times New Roman"/>
          <w:sz w:val="20"/>
          <w:u w:val="single"/>
        </w:rPr>
        <w:t xml:space="preserve"> </w:t>
      </w:r>
      <w:r w:rsidRPr="005B272D">
        <w:rPr>
          <w:rFonts w:eastAsia="Times New Roman"/>
          <w:sz w:val="20"/>
        </w:rPr>
        <w:t>v oblasti udržateľnej a inteligentnej mobility.</w:t>
      </w:r>
    </w:p>
    <w:p w:rsidR="00D71C19" w:rsidRPr="008C7583" w:rsidRDefault="00D71C19" w:rsidP="00D71C19">
      <w:pPr>
        <w:spacing w:line="240" w:lineRule="auto"/>
        <w:jc w:val="both"/>
        <w:rPr>
          <w:rFonts w:eastAsia="Times New Roman"/>
          <w:b/>
          <w:sz w:val="20"/>
        </w:rPr>
      </w:pPr>
      <w:r w:rsidRPr="008C7583">
        <w:rPr>
          <w:rFonts w:eastAsia="Times New Roman"/>
          <w:b/>
          <w:sz w:val="20"/>
          <w:u w:val="single"/>
        </w:rPr>
        <w:t>Nástroj na prepájanie Európy (CEF)</w:t>
      </w:r>
      <w:r w:rsidRPr="008C7583">
        <w:rPr>
          <w:rFonts w:eastAsia="Times New Roman"/>
          <w:b/>
          <w:sz w:val="20"/>
        </w:rPr>
        <w:t xml:space="preserve"> </w:t>
      </w:r>
    </w:p>
    <w:p w:rsidR="00D71C19" w:rsidRDefault="00D71C19" w:rsidP="00D71C19">
      <w:pPr>
        <w:spacing w:line="240" w:lineRule="auto"/>
        <w:jc w:val="both"/>
        <w:rPr>
          <w:rFonts w:eastAsia="Times New Roman"/>
          <w:sz w:val="20"/>
        </w:rPr>
      </w:pPr>
      <w:r>
        <w:rPr>
          <w:rFonts w:eastAsia="Times New Roman"/>
          <w:sz w:val="20"/>
        </w:rPr>
        <w:t>V rámci CP 3 sa plánuje p</w:t>
      </w:r>
      <w:r w:rsidRPr="000D479C">
        <w:rPr>
          <w:rFonts w:eastAsia="Times New Roman"/>
          <w:sz w:val="20"/>
        </w:rPr>
        <w:t xml:space="preserve">odpora výstavby a modernizácie terminálov intermodálnej prepravy. V rámci podpory rastu železničnej nákladnej dopravy je dlhodobým cieľom výstavba a modernizácia siete terminálov intermodálnej prepravy (TIP), ktorá by umožnila prístup ku kvalitným terminálovým a logistickým službám. </w:t>
      </w:r>
      <w:r>
        <w:rPr>
          <w:rFonts w:eastAsia="Times New Roman"/>
          <w:sz w:val="20"/>
        </w:rPr>
        <w:t xml:space="preserve">Synergicky budú z CEF podporené </w:t>
      </w:r>
      <w:r w:rsidRPr="000D479C">
        <w:rPr>
          <w:rFonts w:eastAsia="Times New Roman"/>
          <w:sz w:val="20"/>
        </w:rPr>
        <w:t>projekty infraštruktúry, železnično-cestných terminálov a multimodálnych logistických platforiem v základnej sieti TEN-T prostredníctvom: výstavby alebo modernizácie železnično-cestných terminálov, prekladísk kombinovanej dopravy a iných verejne dostupných multimodálnych logistických platforiem nachádzajúcich sa na základnej sieti TEN-T</w:t>
      </w:r>
      <w:r w:rsidR="00EF51AB">
        <w:rPr>
          <w:rFonts w:eastAsia="Times New Roman"/>
          <w:sz w:val="20"/>
        </w:rPr>
        <w:t xml:space="preserve">, </w:t>
      </w:r>
      <w:r w:rsidR="00EF51AB" w:rsidRPr="00EF51AB">
        <w:rPr>
          <w:rFonts w:eastAsia="Times New Roman"/>
          <w:sz w:val="20"/>
        </w:rPr>
        <w:t>vrátane spojovacích alebo vedľajších koľají, elektrických prípojok, bezpečných a zabezpečených odpočívadiel pre nákladné autá, úprav pre vlak</w:t>
      </w:r>
      <w:r w:rsidR="00EF51AB">
        <w:rPr>
          <w:rFonts w:eastAsia="Times New Roman"/>
          <w:sz w:val="20"/>
        </w:rPr>
        <w:t>y s dĺžkou</w:t>
      </w:r>
      <w:r w:rsidR="00EF51AB" w:rsidRPr="00EF51AB">
        <w:rPr>
          <w:rFonts w:eastAsia="Times New Roman"/>
          <w:sz w:val="20"/>
        </w:rPr>
        <w:t xml:space="preserve"> 740 m, prekládkové zariadenia pre intermodálne nakladacie jednotky vrátane špecifických zariadení pre prepravu návesov po železnici a IKT vybavenia a aplikácií.</w:t>
      </w:r>
    </w:p>
    <w:p w:rsidR="00D71C19" w:rsidRDefault="00D71C19" w:rsidP="00D71C19">
      <w:pPr>
        <w:spacing w:line="240" w:lineRule="auto"/>
        <w:jc w:val="both"/>
        <w:rPr>
          <w:rFonts w:eastAsia="Times New Roman"/>
          <w:sz w:val="20"/>
        </w:rPr>
      </w:pPr>
      <w:r>
        <w:rPr>
          <w:rFonts w:eastAsia="Times New Roman"/>
          <w:sz w:val="20"/>
        </w:rPr>
        <w:t xml:space="preserve">V oblasti železničnej infraštruktúry bude </w:t>
      </w:r>
      <w:r w:rsidR="00237A0A">
        <w:rPr>
          <w:rFonts w:eastAsia="Times New Roman"/>
          <w:sz w:val="20"/>
        </w:rPr>
        <w:t>v CEF</w:t>
      </w:r>
      <w:r>
        <w:rPr>
          <w:rFonts w:eastAsia="Times New Roman"/>
          <w:sz w:val="20"/>
        </w:rPr>
        <w:t xml:space="preserve"> podporené napr. o</w:t>
      </w:r>
      <w:r w:rsidRPr="000D479C">
        <w:rPr>
          <w:rFonts w:eastAsia="Times New Roman"/>
          <w:sz w:val="20"/>
        </w:rPr>
        <w:t xml:space="preserve">dstránenie kľúčových úzkych miest na železničnej infraštruktúre prostredníctvom modernizácie a rozvoja železničných tratí a zvýšenie atraktivity a kvality služieb železničnej verejnej osobnej dopravy prostredníctvom </w:t>
      </w:r>
      <w:r w:rsidR="00237A0A">
        <w:rPr>
          <w:rFonts w:eastAsia="Times New Roman"/>
          <w:sz w:val="20"/>
        </w:rPr>
        <w:t>modernizácie</w:t>
      </w:r>
      <w:r w:rsidR="00237A0A" w:rsidRPr="000D479C">
        <w:rPr>
          <w:rFonts w:eastAsia="Times New Roman"/>
          <w:sz w:val="20"/>
        </w:rPr>
        <w:t xml:space="preserve"> </w:t>
      </w:r>
      <w:r w:rsidRPr="000D479C">
        <w:rPr>
          <w:rFonts w:eastAsia="Times New Roman"/>
          <w:sz w:val="20"/>
        </w:rPr>
        <w:t>mobilných prostriedkov, modernizáciou, resp. renováciou železničných tratí, implementáciou Európskeho systému riadenia železničnej dopravy (ERTMS).</w:t>
      </w:r>
      <w:r>
        <w:rPr>
          <w:rFonts w:eastAsia="Times New Roman"/>
          <w:sz w:val="20"/>
        </w:rPr>
        <w:t xml:space="preserve"> V rámci CEF </w:t>
      </w:r>
      <w:r w:rsidRPr="000D479C">
        <w:rPr>
          <w:rFonts w:eastAsia="Times New Roman"/>
          <w:sz w:val="20"/>
        </w:rPr>
        <w:t>je</w:t>
      </w:r>
      <w:r>
        <w:rPr>
          <w:rFonts w:eastAsia="Times New Roman"/>
          <w:sz w:val="20"/>
        </w:rPr>
        <w:t xml:space="preserve"> cieľom</w:t>
      </w:r>
      <w:r w:rsidRPr="000D479C">
        <w:rPr>
          <w:rFonts w:eastAsia="Times New Roman"/>
          <w:sz w:val="20"/>
        </w:rPr>
        <w:t xml:space="preserve"> rozvíjať projekty infraštruktúry železničnej dopravy</w:t>
      </w:r>
      <w:r w:rsidR="00237A0A">
        <w:rPr>
          <w:rFonts w:eastAsia="Times New Roman"/>
          <w:sz w:val="20"/>
        </w:rPr>
        <w:t>, predovšetkým</w:t>
      </w:r>
      <w:r w:rsidRPr="000D479C">
        <w:rPr>
          <w:rFonts w:eastAsia="Times New Roman"/>
          <w:sz w:val="20"/>
        </w:rPr>
        <w:t xml:space="preserve"> na</w:t>
      </w:r>
      <w:r>
        <w:rPr>
          <w:rFonts w:eastAsia="Times New Roman"/>
          <w:sz w:val="20"/>
        </w:rPr>
        <w:t xml:space="preserve"> </w:t>
      </w:r>
      <w:r w:rsidRPr="000D479C">
        <w:rPr>
          <w:rFonts w:eastAsia="Times New Roman"/>
          <w:sz w:val="20"/>
        </w:rPr>
        <w:t>základnej sieti TEN-T prostredníctvom napríklad: výstavby/modernizácie cezhraničných a chýbajúcich prepojení, elektrifikáciou traťových koľají a modernizáciou elektrifikačných systémov</w:t>
      </w:r>
      <w:r w:rsidR="00EF51AB">
        <w:rPr>
          <w:rFonts w:eastAsia="Times New Roman"/>
          <w:sz w:val="20"/>
        </w:rPr>
        <w:t xml:space="preserve">, </w:t>
      </w:r>
      <w:r w:rsidR="00EF51AB" w:rsidRPr="00EF51AB">
        <w:rPr>
          <w:rFonts w:eastAsia="Times New Roman"/>
          <w:sz w:val="20"/>
        </w:rPr>
        <w:t>zvýšením kapacity a výkonnosti existujúcich tratí vrátane odstránenia úrovňových križovatiek a modernizácie potrebné pre vlaky s dĺžkou 740 metrov a modernizácie potrebné na uľahčenie medzinárodnej železničnej osobnej dopravy, zavedením ERTMS na TEN-T.</w:t>
      </w:r>
      <w:r>
        <w:rPr>
          <w:rFonts w:eastAsia="Times New Roman"/>
          <w:sz w:val="20"/>
        </w:rPr>
        <w:t xml:space="preserve">  </w:t>
      </w:r>
      <w:r w:rsidR="00237A0A">
        <w:rPr>
          <w:rFonts w:eastAsia="Times New Roman"/>
          <w:sz w:val="20"/>
        </w:rPr>
        <w:t xml:space="preserve">Nakoľko je implementácia projektov CEF a PSK </w:t>
      </w:r>
      <w:r w:rsidR="00BB4AAA">
        <w:rPr>
          <w:rFonts w:eastAsia="Times New Roman"/>
          <w:sz w:val="20"/>
        </w:rPr>
        <w:t xml:space="preserve">pre oblasť železničnej infraštruktúry v kompetencii MDV SR, nehrozí riziko dvojitého financovania nakoľko všetky pripravované projekty sú pravidelne monitorované.  </w:t>
      </w:r>
    </w:p>
    <w:p w:rsidR="00D71C19" w:rsidRDefault="00D71C19" w:rsidP="00D71C19">
      <w:pPr>
        <w:spacing w:line="240" w:lineRule="auto"/>
        <w:jc w:val="both"/>
        <w:rPr>
          <w:rFonts w:eastAsia="Times New Roman"/>
          <w:sz w:val="20"/>
        </w:rPr>
      </w:pPr>
      <w:r>
        <w:rPr>
          <w:rFonts w:eastAsia="Times New Roman"/>
          <w:sz w:val="20"/>
        </w:rPr>
        <w:t xml:space="preserve">V rámci vodnej dopravy budú v CP 3 implementované </w:t>
      </w:r>
      <w:r w:rsidRPr="00204D34">
        <w:rPr>
          <w:rFonts w:eastAsia="Times New Roman"/>
          <w:sz w:val="20"/>
        </w:rPr>
        <w:t>výlučne projekty na obstaranie predprojektovej a projektovej dokumentácie súvisiacich so zlepšením splavnosti dunajskej vodnej cesty. Zároveň sa očakáva, že rozvoj vodnej dopravy bude komplementárne podporený aj z iných programov, najmä z nástroja CEF2</w:t>
      </w:r>
      <w:r>
        <w:rPr>
          <w:rFonts w:eastAsia="Times New Roman"/>
          <w:sz w:val="20"/>
        </w:rPr>
        <w:t>.</w:t>
      </w:r>
      <w:r w:rsidR="00015CC3">
        <w:rPr>
          <w:rFonts w:eastAsia="Times New Roman"/>
          <w:sz w:val="20"/>
        </w:rPr>
        <w:t xml:space="preserve"> V rámci CEF sa predpokladá implementácia projektov v oblasti </w:t>
      </w:r>
      <w:r w:rsidR="00015CC3" w:rsidRPr="00015CC3">
        <w:rPr>
          <w:rFonts w:eastAsia="Times New Roman"/>
          <w:sz w:val="20"/>
        </w:rPr>
        <w:t>modernizácie vodných ciest a súvisiacej infraštruktúry, ako sú plavebné komory a</w:t>
      </w:r>
      <w:r w:rsidR="004D7753">
        <w:rPr>
          <w:rFonts w:eastAsia="Times New Roman"/>
          <w:sz w:val="20"/>
        </w:rPr>
        <w:t> </w:t>
      </w:r>
      <w:r w:rsidR="00015CC3" w:rsidRPr="00015CC3">
        <w:rPr>
          <w:rFonts w:eastAsia="Times New Roman"/>
          <w:sz w:val="20"/>
        </w:rPr>
        <w:t>prehrádzky</w:t>
      </w:r>
      <w:r w:rsidR="004D7753">
        <w:rPr>
          <w:rFonts w:eastAsia="Times New Roman"/>
          <w:sz w:val="20"/>
        </w:rPr>
        <w:t xml:space="preserve">, </w:t>
      </w:r>
      <w:r w:rsidR="00015CC3" w:rsidRPr="00015CC3">
        <w:rPr>
          <w:rFonts w:eastAsia="Times New Roman"/>
          <w:sz w:val="20"/>
        </w:rPr>
        <w:t>priehrady, s cieľom dosiahnuť lepšie plavebné podmienky a väčšiu plavebnú kapacitu. Výstavba</w:t>
      </w:r>
      <w:r w:rsidR="004D7753">
        <w:rPr>
          <w:rFonts w:eastAsia="Times New Roman"/>
          <w:sz w:val="20"/>
        </w:rPr>
        <w:t xml:space="preserve">, </w:t>
      </w:r>
      <w:r w:rsidR="00015CC3" w:rsidRPr="00015CC3">
        <w:rPr>
          <w:rFonts w:eastAsia="Times New Roman"/>
          <w:sz w:val="20"/>
        </w:rPr>
        <w:t>zdvíhanie</w:t>
      </w:r>
      <w:r w:rsidR="004D7753">
        <w:rPr>
          <w:rFonts w:eastAsia="Times New Roman"/>
          <w:sz w:val="20"/>
        </w:rPr>
        <w:t xml:space="preserve">, </w:t>
      </w:r>
      <w:r w:rsidR="00015CC3" w:rsidRPr="00015CC3">
        <w:rPr>
          <w:rFonts w:eastAsia="Times New Roman"/>
          <w:sz w:val="20"/>
        </w:rPr>
        <w:t>modernizácia plavebných komôr a pohyblivých mostov na zlepšenie prechodu plavidiel. Poskytovanie a zlepšovanie cestného</w:t>
      </w:r>
      <w:r w:rsidR="004D7753">
        <w:rPr>
          <w:rFonts w:eastAsia="Times New Roman"/>
          <w:sz w:val="20"/>
        </w:rPr>
        <w:t xml:space="preserve">, </w:t>
      </w:r>
      <w:r w:rsidR="00015CC3" w:rsidRPr="00015CC3">
        <w:rPr>
          <w:rFonts w:eastAsia="Times New Roman"/>
          <w:sz w:val="20"/>
        </w:rPr>
        <w:t>železničného prístupu a prepojení v rámci vnútrozemských prístavov.</w:t>
      </w:r>
    </w:p>
    <w:p w:rsidR="00F457A5" w:rsidRDefault="00F457A5" w:rsidP="0049541E">
      <w:pPr>
        <w:spacing w:before="60" w:after="60"/>
        <w:rPr>
          <w:rFonts w:cstheme="minorHAnsi"/>
          <w:b/>
          <w:sz w:val="24"/>
          <w:szCs w:val="24"/>
        </w:rPr>
      </w:pPr>
    </w:p>
    <w:p w:rsidR="0049541E" w:rsidRPr="000C0B7D" w:rsidRDefault="0049541E" w:rsidP="0049541E">
      <w:pPr>
        <w:spacing w:before="60" w:after="60"/>
        <w:rPr>
          <w:rFonts w:cstheme="minorHAnsi"/>
          <w:b/>
          <w:sz w:val="24"/>
          <w:szCs w:val="24"/>
        </w:rPr>
      </w:pPr>
      <w:r w:rsidRPr="000C0B7D">
        <w:rPr>
          <w:rFonts w:cstheme="minorHAnsi"/>
          <w:b/>
          <w:sz w:val="24"/>
          <w:szCs w:val="24"/>
        </w:rPr>
        <w:t xml:space="preserve">Cieľ politiky 4 Sociálnejšia a inkluzívnejšia Európa </w:t>
      </w:r>
    </w:p>
    <w:p w:rsidR="000C0B7D" w:rsidRDefault="000C0B7D" w:rsidP="00EB2833">
      <w:pPr>
        <w:spacing w:after="0" w:line="240" w:lineRule="auto"/>
        <w:jc w:val="both"/>
        <w:rPr>
          <w:rFonts w:eastAsia="Times New Roman"/>
          <w:sz w:val="20"/>
        </w:rPr>
      </w:pPr>
    </w:p>
    <w:p w:rsidR="00782744" w:rsidRPr="005B272D" w:rsidRDefault="00EB2833" w:rsidP="00EB2833">
      <w:pPr>
        <w:spacing w:after="0" w:line="240" w:lineRule="auto"/>
        <w:jc w:val="both"/>
        <w:rPr>
          <w:rFonts w:eastAsia="Times New Roman"/>
          <w:sz w:val="20"/>
        </w:rPr>
      </w:pPr>
      <w:r w:rsidRPr="005B272D">
        <w:rPr>
          <w:rFonts w:eastAsia="Times New Roman"/>
          <w:sz w:val="20"/>
        </w:rPr>
        <w:t xml:space="preserve">V rámci CP 4 sa zabezpečia komplementarity medzi </w:t>
      </w:r>
      <w:r w:rsidRPr="00677D5F">
        <w:rPr>
          <w:rFonts w:eastAsia="Times New Roman"/>
          <w:b/>
          <w:sz w:val="20"/>
          <w:u w:val="single"/>
        </w:rPr>
        <w:t xml:space="preserve">ESF+ </w:t>
      </w:r>
      <w:r w:rsidRPr="00677D5F">
        <w:rPr>
          <w:rFonts w:eastAsia="Times New Roman"/>
          <w:sz w:val="20"/>
          <w:u w:val="single"/>
        </w:rPr>
        <w:t>a</w:t>
      </w:r>
      <w:r w:rsidRPr="00677D5F">
        <w:rPr>
          <w:rFonts w:eastAsia="Times New Roman"/>
          <w:b/>
          <w:sz w:val="20"/>
          <w:u w:val="single"/>
        </w:rPr>
        <w:t> EFRR</w:t>
      </w:r>
      <w:r w:rsidRPr="005B272D">
        <w:rPr>
          <w:rFonts w:eastAsia="Times New Roman"/>
          <w:b/>
          <w:sz w:val="20"/>
        </w:rPr>
        <w:t>,</w:t>
      </w:r>
      <w:r w:rsidRPr="005B272D">
        <w:rPr>
          <w:rFonts w:eastAsia="Times New Roman"/>
          <w:sz w:val="20"/>
        </w:rPr>
        <w:t xml:space="preserve"> najmä v oblasti zvýšenia kvality a účinnosti systémov vzdelávania a odbornej prípravy, zlepšenia prístupu k inkluzívnym a ku kvalitným službám v oblasti vzdelávania, odbornej prípravy a celoživotného vzdelávania, podpory aktívneho začlenenia, a to s cieľom podporovať rovnosť príležitostí, aktívnu účas</w:t>
      </w:r>
      <w:r w:rsidR="005E15D3">
        <w:rPr>
          <w:rFonts w:eastAsia="Times New Roman"/>
          <w:sz w:val="20"/>
        </w:rPr>
        <w:t>ť a zlepšenie zamestnateľnosti</w:t>
      </w:r>
      <w:r w:rsidR="005E15D3" w:rsidRPr="005C1C46">
        <w:rPr>
          <w:rFonts w:eastAsia="Times New Roman"/>
          <w:sz w:val="20"/>
        </w:rPr>
        <w:t xml:space="preserve">. </w:t>
      </w:r>
      <w:r w:rsidR="005E15D3" w:rsidRPr="002F51E1">
        <w:rPr>
          <w:rFonts w:eastAsia="Times New Roman"/>
          <w:b/>
          <w:sz w:val="20"/>
        </w:rPr>
        <w:t>Osobitný dôraz bude kladený na synergické efekty ESF+ a EFRR pri sociálno-ekonomickej</w:t>
      </w:r>
      <w:r w:rsidRPr="002F51E1">
        <w:rPr>
          <w:rFonts w:eastAsia="Times New Roman"/>
          <w:b/>
          <w:sz w:val="20"/>
        </w:rPr>
        <w:t xml:space="preserve"> integráciu znevýhodnených osôb a</w:t>
      </w:r>
      <w:r w:rsidR="006B1B91" w:rsidRPr="002F51E1">
        <w:rPr>
          <w:rFonts w:eastAsia="Times New Roman"/>
          <w:b/>
          <w:sz w:val="20"/>
        </w:rPr>
        <w:t xml:space="preserve"> najmä </w:t>
      </w:r>
      <w:r w:rsidRPr="002F51E1">
        <w:rPr>
          <w:rFonts w:eastAsia="Times New Roman"/>
          <w:b/>
          <w:sz w:val="20"/>
        </w:rPr>
        <w:t>marginalizovaný</w:t>
      </w:r>
      <w:r w:rsidR="005E15D3" w:rsidRPr="002F51E1">
        <w:rPr>
          <w:rFonts w:eastAsia="Times New Roman"/>
          <w:b/>
          <w:sz w:val="20"/>
        </w:rPr>
        <w:t xml:space="preserve">ch rómskych komunít </w:t>
      </w:r>
      <w:r w:rsidR="006B1B91" w:rsidRPr="002F51E1">
        <w:rPr>
          <w:rFonts w:eastAsia="Times New Roman"/>
          <w:b/>
          <w:sz w:val="20"/>
        </w:rPr>
        <w:t>k</w:t>
      </w:r>
      <w:r w:rsidR="005E15D3" w:rsidRPr="002F51E1">
        <w:rPr>
          <w:rFonts w:eastAsia="Times New Roman"/>
          <w:b/>
          <w:sz w:val="20"/>
        </w:rPr>
        <w:t xml:space="preserve"> zabezpečeniu rovnakého</w:t>
      </w:r>
      <w:r w:rsidRPr="002F51E1">
        <w:rPr>
          <w:rFonts w:eastAsia="Times New Roman"/>
          <w:b/>
          <w:sz w:val="20"/>
        </w:rPr>
        <w:t xml:space="preserve"> prístup</w:t>
      </w:r>
      <w:r w:rsidR="005E15D3" w:rsidRPr="002F51E1">
        <w:rPr>
          <w:rFonts w:eastAsia="Times New Roman"/>
          <w:b/>
          <w:sz w:val="20"/>
        </w:rPr>
        <w:t>u</w:t>
      </w:r>
      <w:r w:rsidRPr="002F51E1">
        <w:rPr>
          <w:rFonts w:eastAsia="Times New Roman"/>
          <w:b/>
          <w:sz w:val="20"/>
        </w:rPr>
        <w:t xml:space="preserve"> k</w:t>
      </w:r>
      <w:r w:rsidR="00A3351F" w:rsidRPr="002F51E1">
        <w:rPr>
          <w:rFonts w:eastAsia="Times New Roman"/>
          <w:b/>
          <w:sz w:val="20"/>
        </w:rPr>
        <w:t xml:space="preserve"> službám zamestnanosti, </w:t>
      </w:r>
      <w:r w:rsidR="006B1B91" w:rsidRPr="002F51E1">
        <w:rPr>
          <w:rFonts w:eastAsia="Times New Roman"/>
          <w:b/>
          <w:sz w:val="20"/>
        </w:rPr>
        <w:t xml:space="preserve">vzdelávaniu, </w:t>
      </w:r>
      <w:r w:rsidRPr="002F51E1">
        <w:rPr>
          <w:rFonts w:eastAsia="Times New Roman"/>
          <w:b/>
          <w:sz w:val="20"/>
        </w:rPr>
        <w:t>zdravotnej a sociálnej starostlivosti</w:t>
      </w:r>
      <w:r w:rsidR="002F51E1" w:rsidRPr="002F51E1">
        <w:rPr>
          <w:b/>
          <w:sz w:val="20"/>
          <w:szCs w:val="20"/>
        </w:rPr>
        <w:t>.</w:t>
      </w:r>
      <w:r w:rsidR="002F51E1">
        <w:rPr>
          <w:sz w:val="20"/>
          <w:szCs w:val="20"/>
        </w:rPr>
        <w:t xml:space="preserve"> </w:t>
      </w:r>
      <w:r w:rsidRPr="005B272D">
        <w:rPr>
          <w:rFonts w:eastAsia="Times New Roman"/>
          <w:sz w:val="20"/>
        </w:rPr>
        <w:t>Intervencie z EFRR vytvoria materiálové, technické a infraštruktúrne predpoklady pre</w:t>
      </w:r>
      <w:r w:rsidR="00A3351F">
        <w:rPr>
          <w:rFonts w:eastAsia="Times New Roman"/>
          <w:sz w:val="20"/>
        </w:rPr>
        <w:t xml:space="preserve"> účinnú </w:t>
      </w:r>
      <w:r w:rsidRPr="005B272D">
        <w:rPr>
          <w:rFonts w:eastAsia="Times New Roman"/>
          <w:sz w:val="20"/>
        </w:rPr>
        <w:t xml:space="preserve"> realizáciu aktivít a harmonizáciu intervencií smerom k sociálnej Európe v</w:t>
      </w:r>
      <w:r w:rsidR="00F4227F">
        <w:rPr>
          <w:rFonts w:eastAsia="Times New Roman"/>
          <w:sz w:val="20"/>
        </w:rPr>
        <w:t> </w:t>
      </w:r>
      <w:r w:rsidRPr="005B272D">
        <w:rPr>
          <w:rFonts w:eastAsia="Times New Roman"/>
          <w:sz w:val="20"/>
        </w:rPr>
        <w:t>zmysle</w:t>
      </w:r>
      <w:r w:rsidR="00F4227F">
        <w:rPr>
          <w:rFonts w:eastAsia="Times New Roman"/>
          <w:sz w:val="20"/>
        </w:rPr>
        <w:t xml:space="preserve"> Európskeho piliera </w:t>
      </w:r>
      <w:r w:rsidR="009234CD">
        <w:rPr>
          <w:rFonts w:eastAsia="Times New Roman"/>
          <w:sz w:val="20"/>
        </w:rPr>
        <w:t>sociálnych práv</w:t>
      </w:r>
      <w:r w:rsidRPr="005B272D">
        <w:rPr>
          <w:rFonts w:eastAsia="Times New Roman"/>
          <w:sz w:val="20"/>
        </w:rPr>
        <w:t>, pričom ESF+ sa bude koncentrovať na podporu kapacít, vzdelávania, systémov sociálneho začleňovania, tvorbu  metodík, noriem a kontrolných a monitorovacích procesov a spolupráce vnútroštátnych, regionálnych a miestnych orgánov, sociálnych partnerov a občianskej spoločnosti.</w:t>
      </w:r>
    </w:p>
    <w:p w:rsidR="00EB2833" w:rsidRDefault="00EB2833" w:rsidP="00EB2833">
      <w:pPr>
        <w:spacing w:after="0" w:line="240" w:lineRule="auto"/>
        <w:jc w:val="both"/>
        <w:rPr>
          <w:rFonts w:eastAsia="Times New Roman"/>
          <w:sz w:val="20"/>
        </w:rPr>
      </w:pPr>
    </w:p>
    <w:p w:rsidR="00E82A90" w:rsidRPr="00C54B4F" w:rsidRDefault="00E82A90" w:rsidP="00C54B4F">
      <w:pPr>
        <w:jc w:val="both"/>
        <w:rPr>
          <w:b/>
          <w:u w:val="single"/>
        </w:rPr>
      </w:pPr>
      <w:r w:rsidRPr="00C54B4F">
        <w:rPr>
          <w:b/>
          <w:u w:val="single"/>
        </w:rPr>
        <w:t>Synergie s ESF+ a POO</w:t>
      </w:r>
    </w:p>
    <w:p w:rsidR="00375557" w:rsidRPr="00375557" w:rsidRDefault="00375557" w:rsidP="008430D2">
      <w:pPr>
        <w:shd w:val="clear" w:color="auto" w:fill="FFFFFF"/>
        <w:spacing w:before="100" w:beforeAutospacing="1" w:after="100" w:afterAutospacing="1" w:line="240" w:lineRule="auto"/>
        <w:jc w:val="both"/>
        <w:rPr>
          <w:rFonts w:eastAsia="Times New Roman"/>
          <w:b/>
          <w:sz w:val="20"/>
          <w:u w:val="single"/>
        </w:rPr>
      </w:pPr>
      <w:r w:rsidRPr="00375557">
        <w:rPr>
          <w:rFonts w:eastAsia="Times New Roman"/>
          <w:b/>
          <w:sz w:val="20"/>
          <w:u w:val="single"/>
        </w:rPr>
        <w:t>Oblasť vzdelávania</w:t>
      </w:r>
    </w:p>
    <w:p w:rsidR="00835C35" w:rsidRDefault="00997268" w:rsidP="00835C35">
      <w:pPr>
        <w:spacing w:after="0" w:line="240" w:lineRule="auto"/>
        <w:jc w:val="both"/>
        <w:rPr>
          <w:rFonts w:eastAsia="Times New Roman"/>
          <w:sz w:val="20"/>
          <w:szCs w:val="20"/>
        </w:rPr>
      </w:pPr>
      <w:r w:rsidRPr="000334D6">
        <w:rPr>
          <w:rFonts w:eastAsia="Times New Roman"/>
          <w:sz w:val="20"/>
        </w:rPr>
        <w:t>V rámci fondov EÚ sa pri nastavovaní výziev a projektov budú využívať realizované reformy alebo ich časti, metodiky a manuály vytvorené v</w:t>
      </w:r>
      <w:r w:rsidR="00FA0FB8">
        <w:rPr>
          <w:rFonts w:eastAsia="Times New Roman"/>
          <w:sz w:val="20"/>
        </w:rPr>
        <w:t> </w:t>
      </w:r>
      <w:r w:rsidRPr="000334D6">
        <w:rPr>
          <w:rFonts w:eastAsia="Times New Roman"/>
          <w:sz w:val="20"/>
        </w:rPr>
        <w:t>rámci</w:t>
      </w:r>
      <w:r w:rsidR="00FA0FB8">
        <w:rPr>
          <w:rFonts w:eastAsia="Times New Roman"/>
          <w:sz w:val="20"/>
        </w:rPr>
        <w:t xml:space="preserve"> komponentu 6</w:t>
      </w:r>
      <w:r w:rsidRPr="000334D6">
        <w:rPr>
          <w:rFonts w:eastAsia="Times New Roman"/>
          <w:sz w:val="20"/>
        </w:rPr>
        <w:t xml:space="preserve"> POO (napr. pre debarierizáciu</w:t>
      </w:r>
      <w:r w:rsidRPr="000334D6">
        <w:rPr>
          <w:rFonts w:eastAsia="Times New Roman"/>
          <w:sz w:val="20"/>
          <w:szCs w:val="20"/>
        </w:rPr>
        <w:t>, desegregáciu</w:t>
      </w:r>
      <w:r w:rsidRPr="000334D6">
        <w:rPr>
          <w:rFonts w:eastAsia="Times New Roman"/>
          <w:sz w:val="20"/>
        </w:rPr>
        <w:t xml:space="preserve">). Z fondov EÚ bude komplementárne podporovaná debarierizácia všetkých stupňov škôl a školských zariadení okrem väčších stredných škôl </w:t>
      </w:r>
      <w:r w:rsidRPr="00ED6C74">
        <w:rPr>
          <w:rFonts w:eastAsia="Times New Roman"/>
          <w:sz w:val="20"/>
          <w:szCs w:val="20"/>
        </w:rPr>
        <w:t>(tie budú podporené z</w:t>
      </w:r>
      <w:r w:rsidR="00FA0FB8">
        <w:rPr>
          <w:rFonts w:eastAsia="Times New Roman"/>
          <w:sz w:val="20"/>
          <w:szCs w:val="20"/>
        </w:rPr>
        <w:t xml:space="preserve"> komponenetu 6 </w:t>
      </w:r>
      <w:r w:rsidRPr="00ED6C74">
        <w:rPr>
          <w:rFonts w:eastAsia="Times New Roman"/>
          <w:sz w:val="20"/>
          <w:szCs w:val="20"/>
        </w:rPr>
        <w:t>POO)</w:t>
      </w:r>
      <w:r w:rsidRPr="00ED6C74">
        <w:rPr>
          <w:rFonts w:eastAsia="Times New Roman"/>
          <w:sz w:val="20"/>
        </w:rPr>
        <w:t>. Technické vybavenie škôl v kontexte digitálnej transformácie vzdelávania bude podporené z</w:t>
      </w:r>
      <w:r w:rsidR="00FA0FB8">
        <w:rPr>
          <w:rFonts w:eastAsia="Times New Roman"/>
          <w:sz w:val="20"/>
        </w:rPr>
        <w:t> komponentu 7</w:t>
      </w:r>
      <w:r w:rsidRPr="00ED6C74">
        <w:rPr>
          <w:rFonts w:eastAsia="Times New Roman"/>
          <w:sz w:val="20"/>
        </w:rPr>
        <w:t xml:space="preserve"> POO a pozície digitálnych koordinátorov z fondov EÚ, čo výrazne zvýši efektívnosť investície. </w:t>
      </w:r>
      <w:r w:rsidRPr="00B1392F">
        <w:rPr>
          <w:rFonts w:eastAsia="Times New Roman"/>
          <w:sz w:val="20"/>
          <w:szCs w:val="20"/>
        </w:rPr>
        <w:t>V oblasti inklúzie</w:t>
      </w:r>
      <w:r>
        <w:rPr>
          <w:rFonts w:eastAsia="Times New Roman"/>
          <w:sz w:val="20"/>
          <w:szCs w:val="20"/>
        </w:rPr>
        <w:t>,</w:t>
      </w:r>
      <w:r w:rsidRPr="00B1392F">
        <w:rPr>
          <w:rFonts w:eastAsia="Times New Roman"/>
          <w:sz w:val="20"/>
          <w:szCs w:val="20"/>
        </w:rPr>
        <w:t xml:space="preserve"> vrátane desegregácie</w:t>
      </w:r>
      <w:r>
        <w:rPr>
          <w:rFonts w:eastAsia="Times New Roman"/>
          <w:sz w:val="20"/>
          <w:szCs w:val="20"/>
        </w:rPr>
        <w:t>,</w:t>
      </w:r>
      <w:r w:rsidRPr="00B1392F">
        <w:rPr>
          <w:rFonts w:eastAsia="Times New Roman"/>
          <w:sz w:val="20"/>
          <w:szCs w:val="20"/>
        </w:rPr>
        <w:t xml:space="preserve"> podporia fondy EÚ synergicky k POO pomáhajúce profesie v školách, desegregačné projekty škôl a školenia pre zriaďovateľov, dopravu žiakov z MRK, systém poradenstva a prevencie, aktivity k predchádzaniu predčasného ukončovania školskej dochádzky (napr. mentoring a tútoring, F-odbory). POO </w:t>
      </w:r>
      <w:r w:rsidR="00FA0FB8">
        <w:rPr>
          <w:rFonts w:eastAsia="Times New Roman"/>
          <w:sz w:val="20"/>
          <w:szCs w:val="20"/>
        </w:rPr>
        <w:t xml:space="preserve">v rámci komponentu 6 </w:t>
      </w:r>
      <w:r w:rsidRPr="00B1392F">
        <w:rPr>
          <w:rFonts w:eastAsia="Times New Roman"/>
          <w:sz w:val="20"/>
          <w:szCs w:val="20"/>
        </w:rPr>
        <w:t>t</w:t>
      </w:r>
      <w:r w:rsidRPr="000334D6">
        <w:rPr>
          <w:rFonts w:eastAsia="Times New Roman"/>
          <w:sz w:val="20"/>
          <w:szCs w:val="20"/>
        </w:rPr>
        <w:t>ieto aktivity uvádza, ale nefinancuje.</w:t>
      </w:r>
      <w:r w:rsidRPr="000334D6">
        <w:rPr>
          <w:rFonts w:eastAsia="Times New Roman"/>
          <w:sz w:val="20"/>
        </w:rPr>
        <w:t xml:space="preserve"> </w:t>
      </w:r>
      <w:r w:rsidRPr="000334D6">
        <w:rPr>
          <w:rFonts w:eastAsia="Times New Roman"/>
          <w:sz w:val="20"/>
          <w:szCs w:val="20"/>
        </w:rPr>
        <w:t xml:space="preserve">Po ukončení podpory z POO podporia fondy EÚ pôsobenie pedagogických lídrov v regionálnych centrách podpory pre učiteľov. </w:t>
      </w:r>
    </w:p>
    <w:p w:rsidR="00835C35" w:rsidRPr="00D74EAD" w:rsidRDefault="00835C35" w:rsidP="00835C35">
      <w:pPr>
        <w:spacing w:after="0" w:line="240" w:lineRule="auto"/>
        <w:jc w:val="both"/>
        <w:rPr>
          <w:sz w:val="20"/>
          <w:szCs w:val="20"/>
        </w:rPr>
      </w:pPr>
      <w:r w:rsidRPr="00D74EAD">
        <w:rPr>
          <w:sz w:val="20"/>
          <w:szCs w:val="20"/>
        </w:rPr>
        <w:t>Samostatné investície do infraštruktúry v rámci fondov EÚ nebudú realizované bez sprievodných opatrení ESF+. V rámci deinštitucionalizácie budú investície ESF+ do nebytových služieb a školení osobných asistentov predchádzať investíciám do infraštruktúry podporovanej z EFRR.</w:t>
      </w:r>
    </w:p>
    <w:p w:rsidR="00765BEA" w:rsidRDefault="00765BEA" w:rsidP="00375557">
      <w:pPr>
        <w:jc w:val="both"/>
        <w:rPr>
          <w:b/>
          <w:sz w:val="20"/>
          <w:szCs w:val="20"/>
        </w:rPr>
      </w:pPr>
    </w:p>
    <w:p w:rsidR="00375557" w:rsidRPr="007F3D93" w:rsidRDefault="00375557" w:rsidP="00375557">
      <w:pPr>
        <w:jc w:val="both"/>
        <w:rPr>
          <w:sz w:val="20"/>
          <w:szCs w:val="20"/>
        </w:rPr>
      </w:pPr>
      <w:r w:rsidRPr="007F3D93">
        <w:rPr>
          <w:b/>
          <w:sz w:val="20"/>
          <w:szCs w:val="20"/>
        </w:rPr>
        <w:t xml:space="preserve">Fond </w:t>
      </w:r>
      <w:r w:rsidRPr="00B42805">
        <w:rPr>
          <w:b/>
          <w:sz w:val="20"/>
          <w:szCs w:val="20"/>
          <w:u w:val="single"/>
        </w:rPr>
        <w:t>ESF+</w:t>
      </w:r>
      <w:r w:rsidRPr="007F3D93">
        <w:rPr>
          <w:sz w:val="20"/>
          <w:szCs w:val="20"/>
        </w:rPr>
        <w:t xml:space="preserve"> podporí rozvoj profesijných kompetencií pedagogických a odborných zamestnancov. Podpora sa zameria aj na zlepšenie dostupnosti a rôznorodosti vzdelávania (napr. moderné inovatívne vyučovacie metódy, metódy hodnotenia) a jeho foriem (napr. tímové vzdelávanie, kluby učiteľov, vzájomné vzdelávanie sa, mentoring a supervízia). </w:t>
      </w:r>
      <w:r w:rsidRPr="00677D5F">
        <w:rPr>
          <w:b/>
          <w:sz w:val="20"/>
          <w:szCs w:val="20"/>
          <w:u w:val="single"/>
        </w:rPr>
        <w:t>POO</w:t>
      </w:r>
      <w:r w:rsidR="00765BEA">
        <w:rPr>
          <w:b/>
          <w:sz w:val="20"/>
          <w:szCs w:val="20"/>
          <w:u w:val="single"/>
        </w:rPr>
        <w:t xml:space="preserve"> v rámci komponentu 7</w:t>
      </w:r>
      <w:r w:rsidRPr="007F3D93">
        <w:rPr>
          <w:sz w:val="20"/>
          <w:szCs w:val="20"/>
        </w:rPr>
        <w:t xml:space="preserve"> podporí grantový program určený na transformáciu študijných programov pripravujúcich budúcich učiteľov podporujúci inkluzívne vzdelávanie alebo zavedenie nového modelu financovania profesijného rozvoja učiteľov, ktorý bude zahŕňať medzi prioritné témy aj inkluzívne vzdelávanie.</w:t>
      </w:r>
    </w:p>
    <w:p w:rsidR="00375557" w:rsidRPr="007F3D93" w:rsidRDefault="00375557" w:rsidP="00375557">
      <w:pPr>
        <w:jc w:val="both"/>
        <w:rPr>
          <w:sz w:val="20"/>
          <w:szCs w:val="20"/>
        </w:rPr>
      </w:pPr>
      <w:r w:rsidRPr="008430D2">
        <w:rPr>
          <w:b/>
          <w:sz w:val="20"/>
          <w:szCs w:val="20"/>
        </w:rPr>
        <w:t xml:space="preserve">Fond </w:t>
      </w:r>
      <w:r w:rsidRPr="00B42805">
        <w:rPr>
          <w:b/>
          <w:sz w:val="20"/>
          <w:szCs w:val="20"/>
          <w:u w:val="single"/>
        </w:rPr>
        <w:t>ESF+</w:t>
      </w:r>
      <w:r w:rsidRPr="008430D2">
        <w:rPr>
          <w:sz w:val="20"/>
          <w:szCs w:val="20"/>
        </w:rPr>
        <w:t xml:space="preserve">  podporí asistentov učiteľa a ďalších pedagogických a odborných zamestnancov (napr. školský psychológ, školský špeciálny pedagóg). </w:t>
      </w:r>
      <w:r w:rsidRPr="008430D2">
        <w:rPr>
          <w:b/>
          <w:sz w:val="20"/>
          <w:szCs w:val="20"/>
          <w:u w:val="single"/>
        </w:rPr>
        <w:t>POO</w:t>
      </w:r>
      <w:r w:rsidRPr="008430D2">
        <w:rPr>
          <w:b/>
          <w:sz w:val="20"/>
          <w:szCs w:val="20"/>
        </w:rPr>
        <w:t xml:space="preserve"> </w:t>
      </w:r>
      <w:r w:rsidR="00765BEA">
        <w:rPr>
          <w:b/>
          <w:sz w:val="20"/>
          <w:szCs w:val="20"/>
        </w:rPr>
        <w:t xml:space="preserve">v rámci komponentu 6 </w:t>
      </w:r>
      <w:r w:rsidRPr="008430D2">
        <w:rPr>
          <w:sz w:val="20"/>
          <w:szCs w:val="20"/>
        </w:rPr>
        <w:t xml:space="preserve">sa zameria na podporu pomocného vychovávateľa a školskej zdravotnej sestry. </w:t>
      </w:r>
    </w:p>
    <w:p w:rsidR="00663DEE" w:rsidRPr="007F3D93" w:rsidRDefault="00663DEE" w:rsidP="00663DEE">
      <w:pPr>
        <w:jc w:val="both"/>
        <w:rPr>
          <w:sz w:val="20"/>
          <w:szCs w:val="20"/>
        </w:rPr>
      </w:pPr>
      <w:r w:rsidRPr="007F3D93">
        <w:rPr>
          <w:b/>
          <w:sz w:val="20"/>
          <w:szCs w:val="20"/>
        </w:rPr>
        <w:lastRenderedPageBreak/>
        <w:t xml:space="preserve">Fond </w:t>
      </w:r>
      <w:r w:rsidRPr="00B42805">
        <w:rPr>
          <w:b/>
          <w:sz w:val="20"/>
          <w:szCs w:val="20"/>
          <w:u w:val="single"/>
        </w:rPr>
        <w:t>ESF+</w:t>
      </w:r>
      <w:r w:rsidRPr="007F3D93">
        <w:rPr>
          <w:sz w:val="20"/>
          <w:szCs w:val="20"/>
        </w:rPr>
        <w:t xml:space="preserve"> podporí sa realizáciu voľnočasových aktivít a celodenného výchovného systému a </w:t>
      </w:r>
      <w:r w:rsidRPr="00677D5F">
        <w:rPr>
          <w:b/>
          <w:sz w:val="20"/>
          <w:szCs w:val="20"/>
          <w:u w:val="single"/>
        </w:rPr>
        <w:t>POO</w:t>
      </w:r>
      <w:r w:rsidRPr="007F3D93">
        <w:rPr>
          <w:b/>
          <w:sz w:val="20"/>
          <w:szCs w:val="20"/>
        </w:rPr>
        <w:t xml:space="preserve"> </w:t>
      </w:r>
      <w:r w:rsidR="00765BEA">
        <w:rPr>
          <w:b/>
          <w:sz w:val="20"/>
          <w:szCs w:val="20"/>
        </w:rPr>
        <w:t xml:space="preserve"> v rámci komponentu 6 </w:t>
      </w:r>
      <w:r w:rsidRPr="007F3D93">
        <w:rPr>
          <w:sz w:val="20"/>
          <w:szCs w:val="20"/>
        </w:rPr>
        <w:t xml:space="preserve">poskytne finančnú podporu zriaďovateľom školských klubom detí s cieľom kompenzácie poplatkov za školské kluby detí pre žiakov zo sociálne znevýhodneného prostredia. </w:t>
      </w:r>
    </w:p>
    <w:p w:rsidR="00663DEE" w:rsidRPr="007F3D93" w:rsidRDefault="00663DEE" w:rsidP="00663DEE">
      <w:pPr>
        <w:jc w:val="both"/>
        <w:rPr>
          <w:sz w:val="20"/>
          <w:szCs w:val="20"/>
        </w:rPr>
      </w:pPr>
      <w:r w:rsidRPr="007F3D93">
        <w:rPr>
          <w:b/>
          <w:sz w:val="20"/>
          <w:szCs w:val="20"/>
        </w:rPr>
        <w:t xml:space="preserve">Fond </w:t>
      </w:r>
      <w:r w:rsidRPr="00B42805">
        <w:rPr>
          <w:b/>
          <w:sz w:val="20"/>
          <w:szCs w:val="20"/>
          <w:u w:val="single"/>
        </w:rPr>
        <w:t>ESF+</w:t>
      </w:r>
      <w:r w:rsidRPr="007F3D93">
        <w:rPr>
          <w:sz w:val="20"/>
          <w:szCs w:val="20"/>
        </w:rPr>
        <w:t xml:space="preserve">  podporí prístup k vzdelaniu pre deti v núdzi a iné zraniteľné skupiny. </w:t>
      </w:r>
      <w:r w:rsidRPr="00677D5F">
        <w:rPr>
          <w:b/>
          <w:sz w:val="20"/>
          <w:szCs w:val="20"/>
          <w:u w:val="single"/>
        </w:rPr>
        <w:t xml:space="preserve">POO </w:t>
      </w:r>
      <w:r w:rsidR="00765BEA">
        <w:rPr>
          <w:b/>
          <w:sz w:val="20"/>
          <w:szCs w:val="20"/>
          <w:u w:val="single"/>
        </w:rPr>
        <w:t xml:space="preserve">v rámci komponentu 6 </w:t>
      </w:r>
      <w:r w:rsidRPr="007F3D93">
        <w:rPr>
          <w:sz w:val="20"/>
          <w:szCs w:val="20"/>
        </w:rPr>
        <w:t>podporí kompenzačné opatrenia na zmierňovanie dopadov pandémie vo vzdelávaní pre žiakov základných a stredných škôl (Spolu múdrejší, Spolu úspešnejší, výzva na doučujúcich z neštátneho sektora).</w:t>
      </w:r>
    </w:p>
    <w:p w:rsidR="00663DEE" w:rsidRPr="007F3D93" w:rsidRDefault="00663DEE" w:rsidP="00663DEE">
      <w:pPr>
        <w:jc w:val="both"/>
        <w:rPr>
          <w:sz w:val="20"/>
          <w:szCs w:val="20"/>
        </w:rPr>
      </w:pPr>
      <w:r w:rsidRPr="007F3D93">
        <w:rPr>
          <w:b/>
          <w:sz w:val="20"/>
          <w:szCs w:val="20"/>
        </w:rPr>
        <w:t xml:space="preserve">Fond </w:t>
      </w:r>
      <w:r w:rsidRPr="00B42805">
        <w:rPr>
          <w:b/>
          <w:sz w:val="20"/>
          <w:szCs w:val="20"/>
          <w:u w:val="single"/>
        </w:rPr>
        <w:t>ESF+</w:t>
      </w:r>
      <w:r w:rsidRPr="007F3D93">
        <w:rPr>
          <w:sz w:val="20"/>
          <w:szCs w:val="20"/>
        </w:rPr>
        <w:t xml:space="preserve"> podporí druhošancové vzdelávanie vrátane odstraňovania prekážok v prístupe k vzdelávaniu druhej šance</w:t>
      </w:r>
      <w:r w:rsidRPr="007F3D93">
        <w:rPr>
          <w:b/>
          <w:sz w:val="20"/>
          <w:szCs w:val="20"/>
        </w:rPr>
        <w:t xml:space="preserve">. </w:t>
      </w:r>
      <w:r w:rsidRPr="00677D5F">
        <w:rPr>
          <w:b/>
          <w:sz w:val="20"/>
          <w:szCs w:val="20"/>
          <w:u w:val="single"/>
        </w:rPr>
        <w:t>POO</w:t>
      </w:r>
      <w:r w:rsidR="00765BEA">
        <w:rPr>
          <w:b/>
          <w:sz w:val="20"/>
          <w:szCs w:val="20"/>
          <w:u w:val="single"/>
        </w:rPr>
        <w:t xml:space="preserve"> v rámci komponentu 6</w:t>
      </w:r>
      <w:r w:rsidRPr="007F3D93">
        <w:rPr>
          <w:sz w:val="20"/>
          <w:szCs w:val="20"/>
        </w:rPr>
        <w:t xml:space="preserve"> podporí</w:t>
      </w:r>
      <w:r w:rsidR="00765BEA" w:rsidRPr="00765BEA">
        <w:t xml:space="preserve"> </w:t>
      </w:r>
      <w:r w:rsidR="00765BEA" w:rsidRPr="00765BEA">
        <w:rPr>
          <w:sz w:val="20"/>
          <w:szCs w:val="20"/>
        </w:rPr>
        <w:t>včasného varovania PUDŠ</w:t>
      </w:r>
      <w:r w:rsidRPr="007F3D93">
        <w:rPr>
          <w:sz w:val="20"/>
          <w:szCs w:val="20"/>
        </w:rPr>
        <w:t xml:space="preserve"> </w:t>
      </w:r>
    </w:p>
    <w:p w:rsidR="00663DEE" w:rsidRPr="007F3D93" w:rsidRDefault="00663DEE" w:rsidP="00663DEE">
      <w:pPr>
        <w:jc w:val="both"/>
        <w:rPr>
          <w:sz w:val="20"/>
          <w:szCs w:val="20"/>
        </w:rPr>
      </w:pPr>
      <w:r w:rsidRPr="007F3D93">
        <w:rPr>
          <w:sz w:val="20"/>
          <w:szCs w:val="20"/>
        </w:rPr>
        <w:t xml:space="preserve">V rámci ŠC Zlepšenia rovného prístupu k inkluzívnym a kvalitným službám v oblasti vzdelávania, odbornej prípravy a celoživotného vzdelávania sa fondom </w:t>
      </w:r>
      <w:r w:rsidRPr="00B42805">
        <w:rPr>
          <w:b/>
          <w:sz w:val="20"/>
          <w:szCs w:val="20"/>
          <w:u w:val="single"/>
        </w:rPr>
        <w:t>EFRR</w:t>
      </w:r>
      <w:r w:rsidRPr="007F3D93">
        <w:rPr>
          <w:sz w:val="20"/>
          <w:szCs w:val="20"/>
        </w:rPr>
        <w:t xml:space="preserve"> podporí debarierizáciu menších stredných škôl, základných a materských škôl.</w:t>
      </w:r>
      <w:r w:rsidRPr="007F3D93">
        <w:rPr>
          <w:b/>
          <w:sz w:val="20"/>
          <w:szCs w:val="20"/>
        </w:rPr>
        <w:t xml:space="preserve"> </w:t>
      </w:r>
      <w:r w:rsidRPr="00677D5F">
        <w:rPr>
          <w:b/>
          <w:sz w:val="20"/>
          <w:szCs w:val="20"/>
          <w:u w:val="single"/>
        </w:rPr>
        <w:t>POO</w:t>
      </w:r>
      <w:r w:rsidRPr="00677D5F">
        <w:rPr>
          <w:sz w:val="20"/>
          <w:szCs w:val="20"/>
          <w:u w:val="single"/>
        </w:rPr>
        <w:t xml:space="preserve"> </w:t>
      </w:r>
      <w:r w:rsidR="00765BEA">
        <w:rPr>
          <w:sz w:val="20"/>
          <w:szCs w:val="20"/>
          <w:u w:val="single"/>
        </w:rPr>
        <w:t xml:space="preserve">komponent 6 </w:t>
      </w:r>
      <w:r w:rsidRPr="007F3D93">
        <w:rPr>
          <w:sz w:val="20"/>
          <w:szCs w:val="20"/>
        </w:rPr>
        <w:t>podporí debarierizáciu väčších stredných škôl</w:t>
      </w:r>
      <w:r w:rsidR="00765BEA">
        <w:rPr>
          <w:sz w:val="20"/>
          <w:szCs w:val="20"/>
        </w:rPr>
        <w:t xml:space="preserve"> s počtom žiakov 275 a viac</w:t>
      </w:r>
      <w:r w:rsidRPr="007F3D93">
        <w:rPr>
          <w:sz w:val="20"/>
          <w:szCs w:val="20"/>
        </w:rPr>
        <w:t xml:space="preserve">.  </w:t>
      </w:r>
    </w:p>
    <w:p w:rsidR="00663DEE" w:rsidRPr="007F3D93" w:rsidRDefault="00663DEE" w:rsidP="00663DEE">
      <w:pPr>
        <w:jc w:val="both"/>
        <w:rPr>
          <w:sz w:val="20"/>
          <w:szCs w:val="20"/>
        </w:rPr>
      </w:pPr>
      <w:r>
        <w:rPr>
          <w:b/>
          <w:sz w:val="20"/>
          <w:szCs w:val="20"/>
        </w:rPr>
        <w:t>F</w:t>
      </w:r>
      <w:r w:rsidRPr="007F3D93">
        <w:rPr>
          <w:b/>
          <w:sz w:val="20"/>
          <w:szCs w:val="20"/>
        </w:rPr>
        <w:t xml:space="preserve">ond </w:t>
      </w:r>
      <w:r w:rsidRPr="00B42805">
        <w:rPr>
          <w:b/>
          <w:sz w:val="20"/>
          <w:szCs w:val="20"/>
          <w:u w:val="single"/>
        </w:rPr>
        <w:t>ESF+</w:t>
      </w:r>
      <w:r w:rsidRPr="007F3D93">
        <w:rPr>
          <w:b/>
          <w:sz w:val="20"/>
          <w:szCs w:val="20"/>
        </w:rPr>
        <w:t xml:space="preserve"> </w:t>
      </w:r>
      <w:r w:rsidRPr="007F3D93">
        <w:rPr>
          <w:sz w:val="20"/>
          <w:szCs w:val="20"/>
        </w:rPr>
        <w:t>podporí pôsobenie koordinátorov vzdelávania na základných školách so žiakmi znevýhodneného prostredia v centrách učenia sa, ktoré budú podporené prostredníctvom</w:t>
      </w:r>
      <w:r w:rsidRPr="00677D5F">
        <w:rPr>
          <w:sz w:val="20"/>
          <w:szCs w:val="20"/>
          <w:u w:val="single"/>
        </w:rPr>
        <w:t xml:space="preserve"> </w:t>
      </w:r>
      <w:r w:rsidR="00765BEA">
        <w:rPr>
          <w:sz w:val="20"/>
          <w:szCs w:val="20"/>
          <w:u w:val="single"/>
        </w:rPr>
        <w:t xml:space="preserve">komponentu 7 </w:t>
      </w:r>
      <w:r w:rsidRPr="00677D5F">
        <w:rPr>
          <w:b/>
          <w:sz w:val="20"/>
          <w:szCs w:val="20"/>
          <w:u w:val="single"/>
        </w:rPr>
        <w:t>POO</w:t>
      </w:r>
      <w:r w:rsidRPr="007F3D93">
        <w:rPr>
          <w:b/>
          <w:sz w:val="20"/>
          <w:szCs w:val="20"/>
        </w:rPr>
        <w:t>.</w:t>
      </w:r>
      <w:r w:rsidRPr="007F3D93">
        <w:rPr>
          <w:sz w:val="20"/>
          <w:szCs w:val="20"/>
        </w:rPr>
        <w:t xml:space="preserve"> </w:t>
      </w:r>
    </w:p>
    <w:p w:rsidR="00677D5F" w:rsidRPr="007F3D93" w:rsidRDefault="00677D5F" w:rsidP="00677D5F">
      <w:pPr>
        <w:jc w:val="both"/>
        <w:rPr>
          <w:sz w:val="20"/>
          <w:szCs w:val="20"/>
        </w:rPr>
      </w:pPr>
      <w:r w:rsidRPr="007F3D93">
        <w:rPr>
          <w:sz w:val="20"/>
          <w:szCs w:val="20"/>
        </w:rPr>
        <w:t xml:space="preserve">Z </w:t>
      </w:r>
      <w:r w:rsidRPr="007F3D93">
        <w:rPr>
          <w:b/>
          <w:sz w:val="20"/>
          <w:szCs w:val="20"/>
        </w:rPr>
        <w:t xml:space="preserve">fondu </w:t>
      </w:r>
      <w:r w:rsidRPr="00B42805">
        <w:rPr>
          <w:b/>
          <w:sz w:val="20"/>
          <w:szCs w:val="20"/>
          <w:u w:val="single"/>
        </w:rPr>
        <w:t>ESF+</w:t>
      </w:r>
      <w:r w:rsidRPr="007F3D93">
        <w:rPr>
          <w:sz w:val="20"/>
          <w:szCs w:val="20"/>
        </w:rPr>
        <w:t xml:space="preserve"> sa podporia opatrenia v rámci ranej starostlivosti pre deti v ranom veku najmä zo sociálne znevýhodneného prostredia. </w:t>
      </w:r>
      <w:r w:rsidR="00765BEA">
        <w:rPr>
          <w:sz w:val="20"/>
          <w:szCs w:val="20"/>
        </w:rPr>
        <w:t xml:space="preserve">Komponent 6 </w:t>
      </w:r>
      <w:r w:rsidRPr="00677D5F">
        <w:rPr>
          <w:b/>
          <w:sz w:val="20"/>
          <w:szCs w:val="20"/>
          <w:u w:val="single"/>
        </w:rPr>
        <w:t>POO</w:t>
      </w:r>
      <w:r w:rsidRPr="007F3D93">
        <w:rPr>
          <w:sz w:val="20"/>
          <w:szCs w:val="20"/>
        </w:rPr>
        <w:t xml:space="preserve"> sa bude týkať  podpory grantovej schémy na podporu poskytovania rannej starostlivosti a rannej intervencie deťom z marginalizovaných  rómskych komunít. </w:t>
      </w:r>
    </w:p>
    <w:p w:rsidR="00677D5F" w:rsidRPr="007F3D93" w:rsidRDefault="00677D5F" w:rsidP="00677D5F">
      <w:pPr>
        <w:jc w:val="both"/>
        <w:rPr>
          <w:sz w:val="20"/>
          <w:szCs w:val="20"/>
        </w:rPr>
      </w:pPr>
      <w:r w:rsidRPr="007F3D93">
        <w:rPr>
          <w:b/>
          <w:sz w:val="20"/>
          <w:szCs w:val="20"/>
        </w:rPr>
        <w:t xml:space="preserve">Fond </w:t>
      </w:r>
      <w:r w:rsidRPr="00B42805">
        <w:rPr>
          <w:b/>
          <w:sz w:val="20"/>
          <w:szCs w:val="20"/>
          <w:u w:val="single"/>
        </w:rPr>
        <w:t>ESF+</w:t>
      </w:r>
      <w:r w:rsidRPr="007F3D93">
        <w:rPr>
          <w:b/>
          <w:sz w:val="20"/>
          <w:szCs w:val="20"/>
        </w:rPr>
        <w:t xml:space="preserve">  </w:t>
      </w:r>
      <w:r w:rsidRPr="007F3D93">
        <w:rPr>
          <w:sz w:val="20"/>
          <w:szCs w:val="20"/>
        </w:rPr>
        <w:t>v rámci aktivity podpora účasti detí na vzdelávaní a to najmä detí od troch rokov</w:t>
      </w:r>
      <w:r w:rsidRPr="007F3D93">
        <w:rPr>
          <w:b/>
          <w:sz w:val="20"/>
          <w:szCs w:val="20"/>
        </w:rPr>
        <w:t xml:space="preserve"> </w:t>
      </w:r>
      <w:r w:rsidRPr="007F3D93">
        <w:rPr>
          <w:sz w:val="20"/>
          <w:szCs w:val="20"/>
        </w:rPr>
        <w:t xml:space="preserve"> sa podporí pôsobenie pomáhajúcich profesií v materských školách ako aj pomôcky (obliečkovné/hygienické balíčky). </w:t>
      </w:r>
      <w:r w:rsidR="00765BEA">
        <w:rPr>
          <w:sz w:val="20"/>
          <w:szCs w:val="20"/>
        </w:rPr>
        <w:t xml:space="preserve">Komponent  6 </w:t>
      </w:r>
      <w:r w:rsidRPr="00677D5F">
        <w:rPr>
          <w:b/>
          <w:sz w:val="20"/>
          <w:szCs w:val="20"/>
          <w:u w:val="single"/>
        </w:rPr>
        <w:t>POO</w:t>
      </w:r>
      <w:r w:rsidRPr="007F3D93">
        <w:rPr>
          <w:b/>
          <w:sz w:val="20"/>
          <w:szCs w:val="20"/>
        </w:rPr>
        <w:t xml:space="preserve"> </w:t>
      </w:r>
      <w:r w:rsidRPr="007F3D93">
        <w:rPr>
          <w:sz w:val="20"/>
          <w:szCs w:val="20"/>
        </w:rPr>
        <w:t xml:space="preserve"> podporí rozšírenie kapacít materských škôl s navýšením podielu detí z marginalizovaných rómskych komunít, sociálne znevýhodneného prostredia.  </w:t>
      </w:r>
    </w:p>
    <w:p w:rsidR="00663DEE" w:rsidRPr="00C54B4F" w:rsidRDefault="00663DEE" w:rsidP="00C54B4F">
      <w:pPr>
        <w:jc w:val="both"/>
        <w:rPr>
          <w:b/>
          <w:u w:val="single"/>
        </w:rPr>
      </w:pPr>
      <w:r w:rsidRPr="000D1A10">
        <w:rPr>
          <w:rFonts w:eastAsia="Times New Roman"/>
          <w:b/>
          <w:sz w:val="20"/>
          <w:u w:val="single"/>
        </w:rPr>
        <w:t>Sociálna a zdravotná oblasť</w:t>
      </w:r>
    </w:p>
    <w:p w:rsidR="00765BEA" w:rsidRPr="00FA0FB8" w:rsidRDefault="00765BEA" w:rsidP="00765BEA">
      <w:pPr>
        <w:jc w:val="both"/>
        <w:rPr>
          <w:sz w:val="20"/>
          <w:szCs w:val="20"/>
        </w:rPr>
      </w:pPr>
      <w:r w:rsidRPr="00FA0FB8">
        <w:rPr>
          <w:rFonts w:eastAsia="Times New Roman"/>
          <w:b/>
          <w:sz w:val="20"/>
          <w:u w:val="single"/>
        </w:rPr>
        <w:t xml:space="preserve">EFRR </w:t>
      </w:r>
      <w:r w:rsidRPr="00FA0FB8">
        <w:rPr>
          <w:sz w:val="20"/>
          <w:szCs w:val="20"/>
        </w:rPr>
        <w:t>zabezpečí dostatočné odborné kapacity personálu v zdravotníctve, reflektujúcich požiadavky moderných zdravotníckych povolaní, pričom v POO sa nadväzuje na reformu poskytovania všeobecnej starostlivosti o dospelých, deti a dorast a podporu otvárania nových ambulancií primárnej starostlivosti v nedostatkových oblastiach.</w:t>
      </w:r>
    </w:p>
    <w:p w:rsidR="00765BEA" w:rsidRDefault="00765BEA" w:rsidP="00663DEE">
      <w:pPr>
        <w:spacing w:line="240" w:lineRule="auto"/>
        <w:jc w:val="both"/>
        <w:rPr>
          <w:rFonts w:eastAsia="Times New Roman"/>
          <w:b/>
          <w:sz w:val="20"/>
          <w:u w:val="single"/>
        </w:rPr>
      </w:pPr>
    </w:p>
    <w:p w:rsidR="00663DEE" w:rsidRPr="00B37411" w:rsidRDefault="00663DEE" w:rsidP="00663DEE">
      <w:pPr>
        <w:spacing w:line="240" w:lineRule="auto"/>
        <w:jc w:val="both"/>
        <w:rPr>
          <w:rFonts w:eastAsia="Times New Roman"/>
          <w:sz w:val="20"/>
        </w:rPr>
      </w:pPr>
      <w:r w:rsidRPr="00B37411">
        <w:rPr>
          <w:rFonts w:eastAsia="Times New Roman"/>
          <w:b/>
          <w:sz w:val="20"/>
          <w:u w:val="single"/>
        </w:rPr>
        <w:t>POO</w:t>
      </w:r>
      <w:r w:rsidRPr="00B37411">
        <w:rPr>
          <w:rFonts w:eastAsia="Times New Roman"/>
          <w:sz w:val="20"/>
        </w:rPr>
        <w:t xml:space="preserve"> bude podporovaná optimalizácia siete nemocníc formou výstavby, rekonštrukcie a vybavenia novej siete nemocníc. Z </w:t>
      </w:r>
      <w:r w:rsidRPr="00B37411">
        <w:rPr>
          <w:rFonts w:eastAsia="Times New Roman"/>
          <w:b/>
          <w:sz w:val="20"/>
          <w:u w:val="single"/>
        </w:rPr>
        <w:t xml:space="preserve">EFRR </w:t>
      </w:r>
      <w:r w:rsidRPr="00B37411">
        <w:rPr>
          <w:rFonts w:eastAsia="Times New Roman"/>
          <w:sz w:val="20"/>
        </w:rPr>
        <w:t>sa zabezpečí doplnenie siete centier integrovanej zdravotnej starostlivosti hlavne s cieľom transformácie poskytovania zdravotnej starostlivosti na komunitnej úrovni a poskytovania dostupnej zdravotnej starostlivosti. Komponentom sa ďalej podporí aj digitalizácia v zdravotníctve ako</w:t>
      </w:r>
      <w:r w:rsidRPr="00BF50AC">
        <w:rPr>
          <w:rFonts w:eastAsia="Times New Roman"/>
          <w:sz w:val="20"/>
        </w:rPr>
        <w:t xml:space="preserve"> softvérové vybavenie využívajúce umelú inteligenciu pre optimalizáciu radiačnej dávky a pre efektívnejšie vyhodnocova</w:t>
      </w:r>
      <w:r w:rsidRPr="00B37411">
        <w:rPr>
          <w:rFonts w:eastAsia="Times New Roman"/>
          <w:sz w:val="20"/>
        </w:rPr>
        <w:t>nie rádiologických vyšetrení, c</w:t>
      </w:r>
      <w:r w:rsidRPr="00BF50AC">
        <w:rPr>
          <w:rFonts w:eastAsia="Times New Roman"/>
          <w:sz w:val="20"/>
        </w:rPr>
        <w:t>entrá robotickej chirurgie pre univerzi</w:t>
      </w:r>
      <w:r w:rsidRPr="00B37411">
        <w:rPr>
          <w:rFonts w:eastAsia="Times New Roman"/>
          <w:sz w:val="20"/>
        </w:rPr>
        <w:t xml:space="preserve">tné nemocnice, </w:t>
      </w:r>
      <w:r w:rsidRPr="00BF50AC">
        <w:rPr>
          <w:rFonts w:eastAsia="Times New Roman"/>
          <w:sz w:val="20"/>
        </w:rPr>
        <w:t>systém na zd</w:t>
      </w:r>
      <w:r w:rsidRPr="00B37411">
        <w:rPr>
          <w:rFonts w:eastAsia="Times New Roman"/>
          <w:sz w:val="20"/>
        </w:rPr>
        <w:t>ieľanie zobrazovacích vyšetrení.</w:t>
      </w:r>
    </w:p>
    <w:p w:rsidR="00677D5F" w:rsidRPr="000B13F0" w:rsidRDefault="00677D5F" w:rsidP="00677D5F">
      <w:pPr>
        <w:jc w:val="both"/>
        <w:rPr>
          <w:sz w:val="20"/>
          <w:szCs w:val="20"/>
        </w:rPr>
      </w:pPr>
      <w:r w:rsidRPr="000B13F0">
        <w:rPr>
          <w:b/>
          <w:sz w:val="20"/>
          <w:szCs w:val="20"/>
          <w:u w:val="single"/>
        </w:rPr>
        <w:t>EFRR</w:t>
      </w:r>
      <w:r w:rsidRPr="000B13F0">
        <w:rPr>
          <w:sz w:val="20"/>
          <w:szCs w:val="20"/>
        </w:rPr>
        <w:t xml:space="preserve"> podporí sa zabezpečenie terapeutických, preventívnych, intervenčných a diagnostických nástrojov pre poradenský systém vrátane ich digitalizácie a zavedenie jednotného elektronického systému evidencie odborných činností v poradenskom systéme, elektronický informačný systém (bude slúžiť na evidenciu žiakov, výkonov, dokumentácie naprieč všetkými stupňami poradenských úrovní a bude podkladom na nastavenie nového systému financovania). </w:t>
      </w:r>
      <w:r w:rsidRPr="000B13F0">
        <w:rPr>
          <w:b/>
          <w:sz w:val="20"/>
          <w:szCs w:val="20"/>
          <w:u w:val="single"/>
        </w:rPr>
        <w:t>POO</w:t>
      </w:r>
      <w:r w:rsidRPr="000B13F0">
        <w:rPr>
          <w:b/>
          <w:sz w:val="20"/>
          <w:szCs w:val="20"/>
        </w:rPr>
        <w:t xml:space="preserve"> </w:t>
      </w:r>
      <w:r w:rsidRPr="000B13F0">
        <w:rPr>
          <w:sz w:val="20"/>
          <w:szCs w:val="20"/>
        </w:rPr>
        <w:t xml:space="preserve">podporí reformu systému poradenstva a prevencie v rámci licencie pre diagnostické nástroje a zabezpečí štandardizáciu na slovenskú populáciu a digitalizáciu prostredníctvom Výskumného ústavu detskej psychológie a patopsychológie. </w:t>
      </w:r>
    </w:p>
    <w:p w:rsidR="00663DEE" w:rsidRDefault="00663DEE" w:rsidP="00677D5F">
      <w:pPr>
        <w:jc w:val="both"/>
        <w:rPr>
          <w:rFonts w:eastAsia="Times New Roman"/>
          <w:sz w:val="20"/>
        </w:rPr>
      </w:pPr>
      <w:r w:rsidRPr="000B13F0">
        <w:rPr>
          <w:rFonts w:eastAsia="Times New Roman"/>
          <w:b/>
          <w:sz w:val="20"/>
          <w:u w:val="single"/>
        </w:rPr>
        <w:lastRenderedPageBreak/>
        <w:t>POO</w:t>
      </w:r>
      <w:r w:rsidRPr="000B13F0">
        <w:rPr>
          <w:rFonts w:eastAsia="Times New Roman"/>
          <w:sz w:val="20"/>
        </w:rPr>
        <w:t xml:space="preserve"> zabezpečí komplexnú podporu budovania infraštruktúry starostlivosti o duševné zdravie (vrátane technického vybavenia) a podpora budovania siete stacionárov, podpora rozvoja diagnostiky a liečebných postupov a podpora vzdelávania odborných kapacít, podpora Národnej linky duševného zdravia</w:t>
      </w:r>
      <w:r w:rsidRPr="004D35E4">
        <w:rPr>
          <w:rFonts w:eastAsia="Times New Roman"/>
          <w:sz w:val="20"/>
        </w:rPr>
        <w:t>. Z </w:t>
      </w:r>
      <w:r w:rsidRPr="004D35E4">
        <w:rPr>
          <w:rFonts w:eastAsia="Times New Roman"/>
          <w:b/>
          <w:sz w:val="20"/>
          <w:u w:val="single"/>
        </w:rPr>
        <w:t>EFRR</w:t>
      </w:r>
      <w:r w:rsidRPr="004D35E4">
        <w:rPr>
          <w:rFonts w:eastAsia="Times New Roman"/>
          <w:sz w:val="20"/>
        </w:rPr>
        <w:t xml:space="preserve"> sa zabezpečí synergická podpora v oblasti podpory vzdelávania odborných kapacít, ako aj v rámci inovatívnych projektov v oblasti aktívneho začleňovania znevýhodnených osôb. </w:t>
      </w:r>
    </w:p>
    <w:p w:rsidR="00B42805" w:rsidRPr="004D35E4" w:rsidRDefault="00663DEE" w:rsidP="00997268">
      <w:pPr>
        <w:jc w:val="both"/>
        <w:rPr>
          <w:rFonts w:eastAsia="Times New Roman"/>
          <w:sz w:val="20"/>
        </w:rPr>
      </w:pPr>
      <w:r w:rsidRPr="004D35E4">
        <w:rPr>
          <w:rFonts w:eastAsia="Times New Roman"/>
          <w:sz w:val="20"/>
        </w:rPr>
        <w:t xml:space="preserve">V rámci </w:t>
      </w:r>
      <w:r w:rsidRPr="004D35E4">
        <w:rPr>
          <w:rFonts w:eastAsia="Times New Roman"/>
          <w:b/>
          <w:sz w:val="20"/>
          <w:u w:val="single"/>
        </w:rPr>
        <w:t>POO</w:t>
      </w:r>
      <w:r w:rsidRPr="004D35E4">
        <w:rPr>
          <w:rFonts w:eastAsia="Times New Roman"/>
          <w:sz w:val="20"/>
        </w:rPr>
        <w:t xml:space="preserve"> bude podporené budovanie nových a zvýšenie existujúcich kapacít zariadení komunitného typu, vybudovanie nových ambulantných zariadení, vytvorenie systému inšpekcie v sociálnych veciach, vybudovanie nových kapacít následnej lôžkovej starostlivosti, rozšírenie siete domácej ošetrovateľskej starostlivosti a vybudovanie nových nízko kapacitných kamenných hospicov a zriadenie nových mobilných hospicov. Pre dosiahnutie synergických účinkov sa podpora z </w:t>
      </w:r>
      <w:r w:rsidRPr="004D35E4">
        <w:rPr>
          <w:rFonts w:eastAsia="Times New Roman"/>
          <w:b/>
          <w:sz w:val="20"/>
          <w:u w:val="single"/>
        </w:rPr>
        <w:t xml:space="preserve">EFRR </w:t>
      </w:r>
      <w:r w:rsidRPr="004D35E4">
        <w:rPr>
          <w:rFonts w:eastAsia="Times New Roman"/>
          <w:sz w:val="20"/>
        </w:rPr>
        <w:t xml:space="preserve">sústredí na zabezpečenie dostatočných odborných kapacít personálu v zdravotníctve, reflektujúcich požiadavky moderných zdravotníckych povolaní.  </w:t>
      </w:r>
    </w:p>
    <w:p w:rsidR="00997268" w:rsidRPr="00997268" w:rsidRDefault="00997268" w:rsidP="00997268">
      <w:pPr>
        <w:jc w:val="both"/>
        <w:rPr>
          <w:rFonts w:eastAsia="Times New Roman"/>
          <w:b/>
          <w:sz w:val="20"/>
          <w:u w:val="single"/>
        </w:rPr>
      </w:pPr>
      <w:r w:rsidRPr="00997268">
        <w:rPr>
          <w:rFonts w:eastAsia="Times New Roman"/>
          <w:b/>
          <w:sz w:val="20"/>
          <w:u w:val="single"/>
        </w:rPr>
        <w:t>Oblasť kultúrneho dedičstva</w:t>
      </w:r>
    </w:p>
    <w:p w:rsidR="00997268" w:rsidRDefault="00997268" w:rsidP="00997268">
      <w:pPr>
        <w:jc w:val="both"/>
        <w:rPr>
          <w:rFonts w:eastAsia="Times New Roman"/>
          <w:sz w:val="20"/>
        </w:rPr>
      </w:pPr>
      <w:r w:rsidRPr="005B272D">
        <w:rPr>
          <w:rFonts w:eastAsia="Times New Roman"/>
          <w:sz w:val="20"/>
        </w:rPr>
        <w:t>V rámci komponentu 2</w:t>
      </w:r>
      <w:r w:rsidR="00B42805">
        <w:rPr>
          <w:rFonts w:eastAsia="Times New Roman"/>
          <w:sz w:val="20"/>
        </w:rPr>
        <w:t xml:space="preserve"> </w:t>
      </w:r>
      <w:r w:rsidR="00B42805" w:rsidRPr="00B42805">
        <w:rPr>
          <w:rFonts w:eastAsia="Times New Roman"/>
          <w:sz w:val="20"/>
          <w:u w:val="single"/>
        </w:rPr>
        <w:t>POO</w:t>
      </w:r>
      <w:r w:rsidRPr="005B272D">
        <w:rPr>
          <w:rFonts w:eastAsia="Times New Roman"/>
          <w:sz w:val="20"/>
        </w:rPr>
        <w:t xml:space="preserve"> je cieľom zvýšenie efektivity politiky starostlivosti o pamiatkový fond prostredníctvom obnovy verejných historických a pamiatkovo chránených budov (s podmienkou min. 30</w:t>
      </w:r>
      <w:r>
        <w:rPr>
          <w:rFonts w:eastAsia="Times New Roman"/>
          <w:sz w:val="20"/>
        </w:rPr>
        <w:t xml:space="preserve"> </w:t>
      </w:r>
      <w:r w:rsidRPr="005B272D">
        <w:rPr>
          <w:rFonts w:eastAsia="Times New Roman"/>
          <w:sz w:val="20"/>
        </w:rPr>
        <w:t xml:space="preserve">% úspory primárnej energie). Synergicky budú pôsobiť investície fondov EÚ v CP4 zamerané na obnovu historických a pamiatkových objektov </w:t>
      </w:r>
      <w:r w:rsidRPr="005B272D">
        <w:rPr>
          <w:rFonts w:eastAsia="Times New Roman"/>
          <w:bCs/>
          <w:sz w:val="20"/>
        </w:rPr>
        <w:t>(s cieľom zachovania ich historickej hodnoty a ako bodov kultúry a cestovného ruchu)</w:t>
      </w:r>
      <w:r w:rsidRPr="005B272D">
        <w:rPr>
          <w:rFonts w:eastAsia="Times New Roman"/>
          <w:sz w:val="20"/>
        </w:rPr>
        <w:t>.</w:t>
      </w:r>
    </w:p>
    <w:p w:rsidR="007E568E" w:rsidRPr="004D35E4" w:rsidRDefault="007E568E" w:rsidP="007E568E">
      <w:pPr>
        <w:spacing w:after="0" w:line="240" w:lineRule="auto"/>
        <w:jc w:val="both"/>
        <w:rPr>
          <w:b/>
          <w:sz w:val="20"/>
          <w:szCs w:val="20"/>
          <w:u w:val="single"/>
        </w:rPr>
      </w:pPr>
      <w:r w:rsidRPr="004D35E4">
        <w:rPr>
          <w:b/>
          <w:sz w:val="20"/>
          <w:szCs w:val="20"/>
          <w:u w:val="single"/>
        </w:rPr>
        <w:t xml:space="preserve">MRK </w:t>
      </w:r>
    </w:p>
    <w:p w:rsidR="007E568E" w:rsidRDefault="007E568E" w:rsidP="007E568E">
      <w:pPr>
        <w:spacing w:after="0" w:line="240" w:lineRule="auto"/>
        <w:jc w:val="both"/>
        <w:rPr>
          <w:rFonts w:eastAsia="Times New Roman"/>
          <w:sz w:val="20"/>
        </w:rPr>
      </w:pPr>
      <w:r w:rsidRPr="004D35E4">
        <w:rPr>
          <w:rFonts w:eastAsia="Times New Roman"/>
          <w:sz w:val="20"/>
        </w:rPr>
        <w:t xml:space="preserve">Intervencie z EFRR z cieľa CP4 a cieľov CP2, </w:t>
      </w:r>
      <w:r w:rsidR="004D35E4" w:rsidRPr="004D35E4">
        <w:rPr>
          <w:rFonts w:eastAsia="Times New Roman"/>
          <w:sz w:val="20"/>
        </w:rPr>
        <w:t>CP3</w:t>
      </w:r>
      <w:r w:rsidRPr="004D35E4">
        <w:rPr>
          <w:rFonts w:eastAsia="Times New Roman"/>
          <w:sz w:val="20"/>
        </w:rPr>
        <w:t xml:space="preserve"> (aktivity) vytvoria materiálové, technické a infraštruktúrne predpoklady (najmä v oblasti enviro</w:t>
      </w:r>
      <w:r w:rsidR="000B13F0" w:rsidRPr="004D35E4">
        <w:rPr>
          <w:rFonts w:eastAsia="Times New Roman"/>
          <w:sz w:val="20"/>
        </w:rPr>
        <w:t>n</w:t>
      </w:r>
      <w:r w:rsidRPr="004D35E4">
        <w:rPr>
          <w:rFonts w:eastAsia="Times New Roman"/>
          <w:sz w:val="20"/>
        </w:rPr>
        <w:t>mentálno-sanitačnej infraštruktúry, dopravnej, školskej, zdravotníckej, bývania)  pre realizáciu aktivít a harmonizáciu intervencií smerom k sociálnej Európe s dôrazom na synergie intervencií pre podporu integrácie MRK v  zmysle EPSP, pričom ESF+ sa bude koncentrovať na podporu kapacít, vzdelávania, systémov sociálneho začleňovania, tvorbu  metodík, noriem a kontrolných a monitorovacích procesov a spolupráce vnútroštátnych, regionálnych a miestnych orgánov, sociálnych partnerov a občianskej spoločnosti.</w:t>
      </w:r>
    </w:p>
    <w:p w:rsidR="004D35E4" w:rsidRDefault="004D35E4" w:rsidP="004D35E4">
      <w:pPr>
        <w:spacing w:after="0" w:line="240" w:lineRule="auto"/>
        <w:jc w:val="both"/>
        <w:rPr>
          <w:rFonts w:eastAsia="Times New Roman"/>
          <w:b/>
          <w:sz w:val="20"/>
        </w:rPr>
      </w:pPr>
    </w:p>
    <w:p w:rsidR="004D35E4" w:rsidRDefault="004D35E4" w:rsidP="004D35E4">
      <w:pPr>
        <w:spacing w:after="0" w:line="240" w:lineRule="auto"/>
        <w:jc w:val="both"/>
        <w:rPr>
          <w:rFonts w:eastAsia="Times New Roman"/>
          <w:b/>
          <w:sz w:val="20"/>
        </w:rPr>
      </w:pPr>
      <w:r w:rsidRPr="00DC064B">
        <w:rPr>
          <w:rFonts w:eastAsia="Times New Roman"/>
          <w:b/>
          <w:sz w:val="20"/>
        </w:rPr>
        <w:t xml:space="preserve">Iniciatíva </w:t>
      </w:r>
      <w:r w:rsidRPr="00F31ACE">
        <w:rPr>
          <w:rFonts w:eastAsia="Times New Roman"/>
          <w:b/>
          <w:sz w:val="20"/>
        </w:rPr>
        <w:t xml:space="preserve">EK a Svetovej banky </w:t>
      </w:r>
      <w:r w:rsidRPr="00DC064B">
        <w:rPr>
          <w:rFonts w:eastAsia="Times New Roman"/>
          <w:b/>
          <w:sz w:val="20"/>
        </w:rPr>
        <w:t xml:space="preserve">Catching-up </w:t>
      </w:r>
      <w:r w:rsidR="00A24710">
        <w:rPr>
          <w:rFonts w:eastAsia="Times New Roman"/>
          <w:b/>
          <w:sz w:val="20"/>
        </w:rPr>
        <w:t>R</w:t>
      </w:r>
      <w:r w:rsidRPr="00DC064B">
        <w:rPr>
          <w:rFonts w:eastAsia="Times New Roman"/>
          <w:b/>
          <w:sz w:val="20"/>
        </w:rPr>
        <w:t>egions</w:t>
      </w:r>
    </w:p>
    <w:p w:rsidR="00A24710" w:rsidRPr="00DC064B" w:rsidRDefault="00A24710" w:rsidP="004D35E4">
      <w:pPr>
        <w:spacing w:after="0" w:line="240" w:lineRule="auto"/>
        <w:jc w:val="both"/>
        <w:rPr>
          <w:rFonts w:eastAsia="Times New Roman"/>
          <w:b/>
          <w:sz w:val="20"/>
        </w:rPr>
      </w:pPr>
    </w:p>
    <w:p w:rsidR="004D35E4" w:rsidRPr="005B272D" w:rsidRDefault="00A24710" w:rsidP="004D35E4">
      <w:pPr>
        <w:spacing w:after="0" w:line="240" w:lineRule="auto"/>
        <w:jc w:val="both"/>
        <w:rPr>
          <w:rFonts w:eastAsia="Times New Roman"/>
          <w:sz w:val="20"/>
        </w:rPr>
      </w:pPr>
      <w:r>
        <w:rPr>
          <w:rFonts w:eastAsia="Times New Roman"/>
          <w:sz w:val="20"/>
        </w:rPr>
        <w:t>Príklady dobrej praxe</w:t>
      </w:r>
      <w:r w:rsidR="004D35E4">
        <w:rPr>
          <w:rFonts w:eastAsia="Times New Roman"/>
          <w:sz w:val="20"/>
        </w:rPr>
        <w:t xml:space="preserve"> z iniciatívy </w:t>
      </w:r>
      <w:r w:rsidR="004D35E4" w:rsidRPr="00A24710">
        <w:rPr>
          <w:rFonts w:eastAsia="Times New Roman"/>
          <w:b/>
          <w:sz w:val="20"/>
        </w:rPr>
        <w:t xml:space="preserve">Catching-up </w:t>
      </w:r>
      <w:r w:rsidRPr="00A24710">
        <w:rPr>
          <w:rFonts w:eastAsia="Times New Roman"/>
          <w:b/>
          <w:sz w:val="20"/>
        </w:rPr>
        <w:t>R</w:t>
      </w:r>
      <w:r w:rsidR="004D35E4" w:rsidRPr="00A24710">
        <w:rPr>
          <w:rFonts w:eastAsia="Times New Roman"/>
          <w:b/>
          <w:sz w:val="20"/>
        </w:rPr>
        <w:t>egions</w:t>
      </w:r>
      <w:r w:rsidR="004D35E4">
        <w:rPr>
          <w:rFonts w:eastAsia="Times New Roman"/>
          <w:sz w:val="20"/>
        </w:rPr>
        <w:t xml:space="preserve"> v spolupráci so Svetovou bankou</w:t>
      </w:r>
      <w:r w:rsidR="004D35E4" w:rsidRPr="002B2F7B">
        <w:rPr>
          <w:rFonts w:eastAsia="Times New Roman"/>
          <w:sz w:val="20"/>
        </w:rPr>
        <w:t xml:space="preserve"> sú zahrnuté do</w:t>
      </w:r>
      <w:r w:rsidR="004D35E4">
        <w:rPr>
          <w:rFonts w:eastAsia="Times New Roman"/>
          <w:sz w:val="20"/>
        </w:rPr>
        <w:t xml:space="preserve"> navrhovaného</w:t>
      </w:r>
      <w:r w:rsidR="004D35E4" w:rsidRPr="002B2F7B">
        <w:rPr>
          <w:rFonts w:eastAsia="Times New Roman"/>
          <w:sz w:val="20"/>
        </w:rPr>
        <w:t xml:space="preserve"> koordinačného systému </w:t>
      </w:r>
      <w:r w:rsidR="004D35E4">
        <w:rPr>
          <w:rFonts w:eastAsia="Times New Roman"/>
          <w:sz w:val="20"/>
        </w:rPr>
        <w:t>implementácie pre inklúziu M</w:t>
      </w:r>
      <w:r w:rsidR="004D35E4" w:rsidRPr="002B2F7B">
        <w:rPr>
          <w:rFonts w:eastAsia="Times New Roman"/>
          <w:sz w:val="20"/>
        </w:rPr>
        <w:t>R</w:t>
      </w:r>
      <w:r w:rsidR="004D35E4">
        <w:rPr>
          <w:rFonts w:eastAsia="Times New Roman"/>
          <w:sz w:val="20"/>
        </w:rPr>
        <w:t>K</w:t>
      </w:r>
      <w:r w:rsidR="004D35E4" w:rsidRPr="002B2F7B">
        <w:rPr>
          <w:rFonts w:eastAsia="Times New Roman"/>
          <w:sz w:val="20"/>
        </w:rPr>
        <w:t xml:space="preserve">. Integrované výzvy </w:t>
      </w:r>
      <w:r w:rsidR="004D35E4">
        <w:rPr>
          <w:rFonts w:eastAsia="Times New Roman"/>
          <w:sz w:val="20"/>
        </w:rPr>
        <w:t xml:space="preserve">pre CP2, CP3, CP4  </w:t>
      </w:r>
      <w:r w:rsidR="004D35E4" w:rsidRPr="002B2F7B">
        <w:rPr>
          <w:rFonts w:eastAsia="Times New Roman"/>
          <w:sz w:val="20"/>
        </w:rPr>
        <w:t>sa budú pripravovať participatívnym spôsobom pod dohľadom Úradu splnomocnenca vlády SR pre rómske komunity, pričom sa zohľadnia akčné plány začleňovania Rómov. Budú otvorené a zároveň budú zohľadňovať</w:t>
      </w:r>
      <w:r w:rsidR="004D35E4">
        <w:rPr>
          <w:rFonts w:eastAsia="Times New Roman"/>
          <w:sz w:val="20"/>
        </w:rPr>
        <w:t xml:space="preserve"> potreby a </w:t>
      </w:r>
      <w:r w:rsidR="004D35E4" w:rsidRPr="002B2F7B">
        <w:rPr>
          <w:rFonts w:eastAsia="Times New Roman"/>
          <w:sz w:val="20"/>
        </w:rPr>
        <w:t xml:space="preserve"> špecifiká regiónov vybraných lokalít. Pre úspešnú realizáciu týchto integrovaných výziev</w:t>
      </w:r>
      <w:r w:rsidR="004D35E4">
        <w:rPr>
          <w:rFonts w:eastAsia="Times New Roman"/>
          <w:sz w:val="20"/>
        </w:rPr>
        <w:t xml:space="preserve"> a pripravenosť konečných prijímateľov </w:t>
      </w:r>
      <w:r w:rsidR="004D35E4" w:rsidRPr="002B2F7B">
        <w:rPr>
          <w:rFonts w:eastAsia="Times New Roman"/>
          <w:sz w:val="20"/>
        </w:rPr>
        <w:t>bude zabezpečená systémová podpora AK v</w:t>
      </w:r>
      <w:r w:rsidR="004D35E4">
        <w:rPr>
          <w:rFonts w:eastAsia="Times New Roman"/>
          <w:sz w:val="20"/>
        </w:rPr>
        <w:t> </w:t>
      </w:r>
      <w:r w:rsidR="004D35E4" w:rsidRPr="002B2F7B">
        <w:rPr>
          <w:rFonts w:eastAsia="Times New Roman"/>
          <w:sz w:val="20"/>
        </w:rPr>
        <w:t>regiónoch</w:t>
      </w:r>
      <w:r w:rsidR="004D35E4">
        <w:rPr>
          <w:rFonts w:eastAsia="Times New Roman"/>
          <w:sz w:val="20"/>
        </w:rPr>
        <w:t>.</w:t>
      </w:r>
    </w:p>
    <w:p w:rsidR="004D35E4" w:rsidRPr="005B272D" w:rsidRDefault="004D35E4" w:rsidP="007E568E">
      <w:pPr>
        <w:spacing w:after="0" w:line="240" w:lineRule="auto"/>
        <w:jc w:val="both"/>
        <w:rPr>
          <w:rFonts w:eastAsia="Times New Roman"/>
          <w:sz w:val="20"/>
        </w:rPr>
      </w:pPr>
    </w:p>
    <w:p w:rsidR="00E82A90" w:rsidRPr="00C54B4F" w:rsidRDefault="00E82A90" w:rsidP="00C54B4F">
      <w:pPr>
        <w:jc w:val="both"/>
        <w:rPr>
          <w:b/>
          <w:u w:val="single"/>
        </w:rPr>
      </w:pPr>
      <w:r w:rsidRPr="00C54B4F">
        <w:rPr>
          <w:b/>
          <w:u w:val="single"/>
        </w:rPr>
        <w:t>Synergie s FST</w:t>
      </w:r>
    </w:p>
    <w:p w:rsidR="00A24710" w:rsidRPr="00E503CF" w:rsidRDefault="00A24710" w:rsidP="00A24710">
      <w:pPr>
        <w:spacing w:before="120"/>
        <w:jc w:val="both"/>
        <w:rPr>
          <w:sz w:val="20"/>
          <w:szCs w:val="20"/>
        </w:rPr>
      </w:pPr>
      <w:r w:rsidRPr="00E503CF">
        <w:rPr>
          <w:sz w:val="20"/>
          <w:szCs w:val="20"/>
        </w:rPr>
        <w:t xml:space="preserve">Intervencie z </w:t>
      </w:r>
      <w:r w:rsidRPr="00A24710">
        <w:rPr>
          <w:b/>
          <w:sz w:val="20"/>
          <w:szCs w:val="20"/>
        </w:rPr>
        <w:t>FST</w:t>
      </w:r>
      <w:r w:rsidRPr="00E503CF">
        <w:rPr>
          <w:sz w:val="20"/>
          <w:szCs w:val="20"/>
        </w:rPr>
        <w:t xml:space="preserve"> a ich územné zacielenie sú vymedzené v PST, pričom budú synergicky a komplementárne podporovať investície v oblasti prístupu na trh práce, vzdelávania a rozvoja </w:t>
      </w:r>
      <w:r w:rsidRPr="00060429">
        <w:rPr>
          <w:sz w:val="20"/>
          <w:szCs w:val="20"/>
        </w:rPr>
        <w:t>zručností v rámci CP 4. Špecificky bude podpora z FST na oprávnenom území zameraná na zvyšovanie kvality vzdelávania a odbornej prípravy, rozvoj zručností pre spravodlivú transformáciu, rekvalifikáciu a tvorbu udržateľných pracovných miest aj prostredníctvom podpory s</w:t>
      </w:r>
      <w:r w:rsidRPr="002C2D4A">
        <w:rPr>
          <w:sz w:val="20"/>
          <w:szCs w:val="20"/>
        </w:rPr>
        <w:t>ociálneho podnikania.</w:t>
      </w:r>
    </w:p>
    <w:p w:rsidR="00A24710" w:rsidRPr="00E503CF" w:rsidRDefault="00A24710" w:rsidP="00A24710">
      <w:pPr>
        <w:jc w:val="both"/>
        <w:rPr>
          <w:sz w:val="20"/>
          <w:szCs w:val="20"/>
        </w:rPr>
      </w:pPr>
      <w:r w:rsidRPr="00E503CF">
        <w:rPr>
          <w:sz w:val="20"/>
          <w:szCs w:val="20"/>
        </w:rPr>
        <w:t xml:space="preserve">Cieľom FST v rámci programu je zamerať sa na rekvalifikáciu a zvyšovanie zručností v tých odvetviach, ktoré sú ovplyvnené procesom transformácie regiónov na klimatickú neutralitu. Z pohľadu cieľovej skupiny ide predovšetkým o najzraniteľnejšie skupiny ovplyvnené transformačnými procesmi. V krátkodobom horizonte bude podpora zameraná na najohrozenejšie skupiny, teda na nízkokvalifikovanú pracovnú silu, a na rozvoj ich univerzálnych zručností (napr. schopnosť učiť sa, aplikovať získané vedomosti v praxi a </w:t>
      </w:r>
      <w:r w:rsidRPr="00E503CF">
        <w:rPr>
          <w:sz w:val="20"/>
          <w:szCs w:val="20"/>
        </w:rPr>
        <w:lastRenderedPageBreak/>
        <w:t>efektívne komunikovať), čo následne uľahčí získavanie technických odborných zručností. V strednodobom horizonte bude podporený rozvoj digitálnych a ďalších univerzálnych zručností (napr. rozvoj analytického myslenia, práca v tíme a schopnosť prispôsobiť sa zmenám) a odborných zručností potrebných v blízkej budúcnosti (napr. zručnosti zamerané na OZE a nové technológie).</w:t>
      </w:r>
      <w:r w:rsidRPr="00060429">
        <w:rPr>
          <w:color w:val="000000"/>
        </w:rPr>
        <w:t xml:space="preserve"> </w:t>
      </w:r>
      <w:r w:rsidRPr="00E503CF">
        <w:rPr>
          <w:sz w:val="20"/>
          <w:szCs w:val="20"/>
        </w:rPr>
        <w:t>Opatrenia FST v oblasti neformálneho vzdelávania a rekvalifikácie budú nadväzovať na podporu poskytnutú v programovom období 2014-2020, ktorej cieľom je vytvárať podmienky pre plynulý prechod pracovníkov z ťažby hnedého uhlia do nových odvetví ekonomickej činnosti. Rozvoj zručností však nebude zameraný výlučne na ľudí pracujúcich v upadajúcich odvetviach, ale aj na zvyšovanie odolnosti pracovnej sily voči rýchlym zmenám na trhu práce súvisiacim s transformáciou. FST bude doplnkovým zdrojom na podporu odborného vzdelávania a prípravy vrátane rozvoja duálneho vzdelávania a zlepšovania vybavenia a infraštruktúry vzdelávania. Analýzy a aktivity realizované v rámci iniciatívy Catching-up Regions v oprávnených regiónoch poukázali na vysoký dopyt po investíciách v tejto oblasti, ako aj na pripravenosť realizovať komplexné investičné projekty.</w:t>
      </w:r>
    </w:p>
    <w:p w:rsidR="00E82A90" w:rsidRPr="00C54B4F" w:rsidRDefault="00E82A90" w:rsidP="00C54B4F">
      <w:pPr>
        <w:jc w:val="both"/>
        <w:rPr>
          <w:b/>
          <w:u w:val="single"/>
        </w:rPr>
      </w:pPr>
      <w:r w:rsidRPr="00C54B4F">
        <w:rPr>
          <w:b/>
          <w:u w:val="single"/>
        </w:rPr>
        <w:t>Synergie s EPFRV</w:t>
      </w:r>
    </w:p>
    <w:p w:rsidR="00B42805" w:rsidRDefault="00997268" w:rsidP="00BF50AC">
      <w:pPr>
        <w:spacing w:after="0"/>
        <w:jc w:val="both"/>
        <w:rPr>
          <w:rFonts w:eastAsia="Times New Roman"/>
          <w:sz w:val="20"/>
        </w:rPr>
      </w:pPr>
      <w:r w:rsidRPr="00E82A90">
        <w:rPr>
          <w:rFonts w:eastAsia="Times New Roman"/>
          <w:sz w:val="20"/>
        </w:rPr>
        <w:t xml:space="preserve">Komplementarita </w:t>
      </w:r>
      <w:r>
        <w:rPr>
          <w:rFonts w:eastAsia="Times New Roman"/>
          <w:sz w:val="20"/>
        </w:rPr>
        <w:t xml:space="preserve"> je identifikovaná</w:t>
      </w:r>
      <w:r w:rsidRPr="00E82A90">
        <w:rPr>
          <w:rFonts w:eastAsia="Times New Roman"/>
          <w:sz w:val="20"/>
        </w:rPr>
        <w:t xml:space="preserve"> v oblasti pomoci ľuďom v núdzi. V rámci EPFRV v prechodnom období 2021-2022 sa poskytne investičná podpora pre vytvorenie technického zázemia pre dlhodobé poskytovanie služieb pre ľudí v núdzi, konkrétne podpora investícií charitatívnych organizácií do skladovacích a prepravných kapacít prioritne pre potravinovú a príp. aj pre základnú materiálu pomoc. Investície teda vytvoria dlhodobé predpoklady pre poskytovanie pomoci ľudom v núdzi, ktoré bude prevádzkovo podporené z ESF+.</w:t>
      </w:r>
    </w:p>
    <w:p w:rsidR="000445AF" w:rsidRDefault="000445AF" w:rsidP="00BF50AC">
      <w:pPr>
        <w:spacing w:after="0"/>
        <w:jc w:val="both"/>
        <w:rPr>
          <w:rFonts w:eastAsia="Times New Roman"/>
          <w:sz w:val="20"/>
        </w:rPr>
      </w:pPr>
    </w:p>
    <w:p w:rsidR="000445AF" w:rsidRDefault="000445AF" w:rsidP="000445AF">
      <w:pPr>
        <w:spacing w:after="0" w:line="240" w:lineRule="auto"/>
        <w:jc w:val="both"/>
        <w:rPr>
          <w:rFonts w:eastAsia="Times New Roman"/>
          <w:b/>
          <w:u w:val="single"/>
        </w:rPr>
      </w:pPr>
      <w:r w:rsidRPr="000445AF">
        <w:rPr>
          <w:rFonts w:eastAsia="Times New Roman"/>
          <w:b/>
          <w:u w:val="single"/>
        </w:rPr>
        <w:t xml:space="preserve">Synergie s Interreg SK-AT </w:t>
      </w:r>
    </w:p>
    <w:p w:rsidR="000445AF" w:rsidRDefault="000445AF" w:rsidP="000445AF">
      <w:pPr>
        <w:spacing w:after="0" w:line="240" w:lineRule="auto"/>
        <w:jc w:val="both"/>
        <w:rPr>
          <w:rFonts w:eastAsia="Times New Roman"/>
          <w:b/>
          <w:u w:val="single"/>
        </w:rPr>
      </w:pPr>
    </w:p>
    <w:p w:rsidR="000445AF" w:rsidRPr="000445AF" w:rsidRDefault="000445AF" w:rsidP="000445AF">
      <w:pPr>
        <w:spacing w:after="0" w:line="240" w:lineRule="auto"/>
        <w:jc w:val="both"/>
        <w:rPr>
          <w:rFonts w:eastAsia="Times New Roman"/>
          <w:sz w:val="20"/>
          <w:szCs w:val="20"/>
        </w:rPr>
      </w:pPr>
      <w:r w:rsidRPr="000445AF">
        <w:rPr>
          <w:rFonts w:eastAsia="Times New Roman"/>
          <w:sz w:val="20"/>
          <w:szCs w:val="20"/>
        </w:rPr>
        <w:t xml:space="preserve">Komplementárnosť a synergie boli identifikované v oblasti rovnakého prístupu k inkluzívnym a kvalitným službám v oblasti vzdelávania, odbornej prípravy a celoživotného vzdelávania (SO 4.2), rovnakého prístupu k zdravotnej starostlivosti (SO 4.5), kultúry a udržateľného cestovného ruchu (SO 4.6). </w:t>
      </w:r>
    </w:p>
    <w:p w:rsidR="000445AF" w:rsidRPr="000445AF" w:rsidRDefault="000445AF" w:rsidP="000445AF">
      <w:pPr>
        <w:spacing w:after="0" w:line="240" w:lineRule="auto"/>
        <w:jc w:val="both"/>
        <w:rPr>
          <w:rFonts w:eastAsia="Times New Roman"/>
          <w:b/>
          <w:u w:val="single"/>
        </w:rPr>
      </w:pPr>
    </w:p>
    <w:p w:rsidR="00997268" w:rsidRPr="00997268" w:rsidRDefault="00997268" w:rsidP="00B42805">
      <w:pPr>
        <w:spacing w:after="0"/>
        <w:rPr>
          <w:rFonts w:eastAsia="Times New Roman"/>
          <w:sz w:val="20"/>
        </w:rPr>
      </w:pPr>
      <w:r w:rsidRPr="00997268">
        <w:rPr>
          <w:b/>
          <w:u w:val="single"/>
        </w:rPr>
        <w:t>Synergie s ostatnými nástrojmi podpory</w:t>
      </w:r>
    </w:p>
    <w:p w:rsidR="00997268" w:rsidRPr="005B272D" w:rsidRDefault="00997268" w:rsidP="00997268">
      <w:pPr>
        <w:spacing w:line="240" w:lineRule="auto"/>
        <w:jc w:val="both"/>
        <w:rPr>
          <w:rFonts w:eastAsia="Times New Roman"/>
          <w:sz w:val="20"/>
        </w:rPr>
      </w:pPr>
      <w:r w:rsidRPr="008C7583">
        <w:rPr>
          <w:rFonts w:eastAsia="Times New Roman"/>
          <w:b/>
          <w:sz w:val="20"/>
          <w:u w:val="single"/>
        </w:rPr>
        <w:t>Erasmus+</w:t>
      </w:r>
      <w:r w:rsidRPr="005B272D">
        <w:rPr>
          <w:rFonts w:eastAsia="Times New Roman"/>
          <w:sz w:val="20"/>
        </w:rPr>
        <w:t xml:space="preserve"> v oblasti investícií do vzdelávania a odbornej prípravy, vrátane inklúzie a celoživotného vzdelávania.</w:t>
      </w:r>
    </w:p>
    <w:p w:rsidR="00997268" w:rsidRPr="005B272D" w:rsidRDefault="00997268" w:rsidP="00997268">
      <w:pPr>
        <w:spacing w:line="240" w:lineRule="auto"/>
        <w:jc w:val="both"/>
        <w:rPr>
          <w:rFonts w:eastAsia="Times New Roman"/>
          <w:sz w:val="20"/>
        </w:rPr>
      </w:pPr>
      <w:r w:rsidRPr="008C7583">
        <w:rPr>
          <w:rFonts w:eastAsia="Times New Roman"/>
          <w:b/>
          <w:sz w:val="20"/>
          <w:u w:val="single"/>
        </w:rPr>
        <w:t>EU4Health</w:t>
      </w:r>
      <w:r w:rsidRPr="005B272D">
        <w:rPr>
          <w:rFonts w:eastAsia="Times New Roman"/>
          <w:sz w:val="20"/>
        </w:rPr>
        <w:t xml:space="preserve"> v oblasti zlepšenia kvality a dostupnosti zdravotnej starostlivosti.</w:t>
      </w:r>
    </w:p>
    <w:p w:rsidR="00997268" w:rsidRPr="005B272D" w:rsidRDefault="00997268" w:rsidP="00997268">
      <w:pPr>
        <w:spacing w:line="240" w:lineRule="auto"/>
        <w:jc w:val="both"/>
        <w:rPr>
          <w:rFonts w:eastAsia="Times New Roman"/>
          <w:sz w:val="20"/>
        </w:rPr>
      </w:pPr>
      <w:r w:rsidRPr="008C7583">
        <w:rPr>
          <w:rFonts w:eastAsia="Times New Roman"/>
          <w:b/>
          <w:sz w:val="20"/>
          <w:u w:val="single"/>
        </w:rPr>
        <w:t>Fond pre azyl, migráciu a integráciu</w:t>
      </w:r>
      <w:r w:rsidRPr="005B272D">
        <w:rPr>
          <w:rFonts w:eastAsia="Times New Roman"/>
          <w:sz w:val="20"/>
        </w:rPr>
        <w:t xml:space="preserve"> v oblasti zvyšovania sociálno-ekonomickej integrácie štátnych príslušníkov tretích krajín.</w:t>
      </w:r>
    </w:p>
    <w:p w:rsidR="00997268" w:rsidRDefault="00997268" w:rsidP="00997268">
      <w:pPr>
        <w:spacing w:line="240" w:lineRule="auto"/>
        <w:jc w:val="both"/>
        <w:rPr>
          <w:rFonts w:eastAsia="Times New Roman"/>
          <w:sz w:val="20"/>
        </w:rPr>
      </w:pPr>
      <w:r w:rsidRPr="005B272D">
        <w:rPr>
          <w:rFonts w:eastAsia="Times New Roman"/>
          <w:sz w:val="20"/>
        </w:rPr>
        <w:t>“AMIF”) a Európsky sociálny fond+ („ESF+“) budú zamerané na podporu integrácie migrantov a štátnych príslušníkov tretích krajín. AMIF bude podporovať opatrenia šité na mieru potrebám štátnych príslušníkov tretích krajín, ktoré sa vo všeobecnosti implementujú v počiatočných fázach integrácie. ESF+ bude dopĺňať AMIF v oblasti všetkých opatrení týkajúcich sa strednodobej a dlhodobej integrácie, ktorými sú najmä opatrenia týkajúce sa zamestnanosti a integrácie štátnych príslušníkov tretích krajín na trh práce a ich začleňovania do spoločnosti.</w:t>
      </w:r>
    </w:p>
    <w:p w:rsidR="00401223" w:rsidRPr="00835C35" w:rsidRDefault="00835C35" w:rsidP="00997268">
      <w:pPr>
        <w:spacing w:line="240" w:lineRule="auto"/>
        <w:jc w:val="both"/>
        <w:rPr>
          <w:rFonts w:eastAsia="Times New Roman"/>
          <w:sz w:val="20"/>
        </w:rPr>
      </w:pPr>
      <w:r>
        <w:rPr>
          <w:rFonts w:eastAsia="Times New Roman"/>
          <w:sz w:val="20"/>
        </w:rPr>
        <w:t>EFRR</w:t>
      </w:r>
      <w:r w:rsidR="00401223" w:rsidRPr="00835C35">
        <w:rPr>
          <w:rFonts w:eastAsia="Times New Roman"/>
          <w:sz w:val="20"/>
        </w:rPr>
        <w:t xml:space="preserve"> v rámci podpory dlhodobých integračných opatrení bude dopĺňať Fond pre azyl, migráciu a integráciu prostredníctvom integrovaných opatrení vrátane bývania a sociálnych služieb, ktoré sa však nebudú vzťahovať len na príslušníkov tretích krajín a migrantov, ale aj na marginalizované komunity a znevýhodnené skupiny obyvateľstva.</w:t>
      </w:r>
    </w:p>
    <w:p w:rsidR="00997268" w:rsidRPr="005B272D" w:rsidRDefault="00997268" w:rsidP="00997268">
      <w:pPr>
        <w:spacing w:line="240" w:lineRule="auto"/>
        <w:jc w:val="both"/>
        <w:rPr>
          <w:rFonts w:eastAsia="Times New Roman"/>
          <w:sz w:val="20"/>
        </w:rPr>
      </w:pPr>
      <w:r w:rsidRPr="005B272D">
        <w:rPr>
          <w:rFonts w:eastAsia="Times New Roman"/>
          <w:sz w:val="20"/>
        </w:rPr>
        <w:lastRenderedPageBreak/>
        <w:t>V nadväznosti na ozbrojený konflikt na Ukrajine bude základnú a nevyhnutnú pomoc občanom Ukrajiny a žiadateľom o udelenie dočasného útočiska poskytovať AMIF. Potreby osôb, ktorým bude udelený štatút dočasného útočiska, zamerané na dlhodobú integráciu, vrátane vstupu na trh práce, bude financovať ESF+.</w:t>
      </w:r>
    </w:p>
    <w:p w:rsidR="00997268" w:rsidRDefault="00997268" w:rsidP="00997268">
      <w:pPr>
        <w:spacing w:line="240" w:lineRule="auto"/>
        <w:jc w:val="both"/>
        <w:rPr>
          <w:rFonts w:eastAsia="Times New Roman"/>
          <w:sz w:val="20"/>
        </w:rPr>
      </w:pPr>
      <w:r w:rsidRPr="008C7583">
        <w:rPr>
          <w:rFonts w:eastAsia="Times New Roman"/>
          <w:b/>
          <w:sz w:val="20"/>
          <w:u w:val="single"/>
        </w:rPr>
        <w:t>Fond pre vnútornú bezpečnosť</w:t>
      </w:r>
      <w:r w:rsidRPr="005B272D">
        <w:rPr>
          <w:rFonts w:eastAsia="Times New Roman"/>
          <w:sz w:val="20"/>
        </w:rPr>
        <w:t xml:space="preserve"> v oblasti predchádzania a boja proti drogovej kriminalite, ale aj predchádzania a boja proti radikalizácii. </w:t>
      </w:r>
    </w:p>
    <w:p w:rsidR="00997268" w:rsidRPr="00997268" w:rsidRDefault="00997268" w:rsidP="00997268">
      <w:pPr>
        <w:spacing w:line="240" w:lineRule="auto"/>
        <w:jc w:val="both"/>
        <w:rPr>
          <w:rFonts w:eastAsia="Times New Roman"/>
          <w:b/>
          <w:iCs/>
          <w:sz w:val="20"/>
          <w:u w:val="single"/>
        </w:rPr>
      </w:pPr>
      <w:r w:rsidRPr="00997268">
        <w:rPr>
          <w:rFonts w:eastAsia="Times New Roman"/>
          <w:b/>
          <w:iCs/>
          <w:sz w:val="20"/>
          <w:u w:val="single"/>
        </w:rPr>
        <w:t xml:space="preserve">Nástroj susedstva a rozvojovej a medzinárodnej spolupráce </w:t>
      </w:r>
      <w:r>
        <w:rPr>
          <w:rFonts w:eastAsia="Times New Roman"/>
          <w:b/>
          <w:iCs/>
          <w:sz w:val="20"/>
          <w:u w:val="single"/>
        </w:rPr>
        <w:t>(</w:t>
      </w:r>
      <w:r w:rsidRPr="00997268">
        <w:rPr>
          <w:rFonts w:eastAsia="Times New Roman"/>
          <w:b/>
          <w:iCs/>
          <w:sz w:val="20"/>
          <w:u w:val="single"/>
        </w:rPr>
        <w:t>NDICI)</w:t>
      </w:r>
    </w:p>
    <w:p w:rsidR="00997268" w:rsidRDefault="00997268" w:rsidP="00BF50AC">
      <w:pPr>
        <w:spacing w:before="60" w:after="60"/>
        <w:jc w:val="both"/>
        <w:rPr>
          <w:rFonts w:eastAsia="Times New Roman"/>
          <w:iCs/>
          <w:sz w:val="20"/>
        </w:rPr>
      </w:pPr>
      <w:r w:rsidRPr="000B13F0">
        <w:rPr>
          <w:rFonts w:eastAsia="Times New Roman"/>
          <w:iCs/>
          <w:sz w:val="20"/>
        </w:rPr>
        <w:t xml:space="preserve">NDICI je hlavným finančným nástrojom vonkajšej činnosti EÚ. </w:t>
      </w:r>
      <w:r w:rsidR="000B13F0" w:rsidRPr="00FA1A54">
        <w:rPr>
          <w:rFonts w:eastAsia="Times New Roman"/>
          <w:iCs/>
          <w:sz w:val="20"/>
        </w:rPr>
        <w:t xml:space="preserve">Z </w:t>
      </w:r>
      <w:r w:rsidR="000B13F0" w:rsidRPr="00FA1A54">
        <w:rPr>
          <w:rFonts w:eastAsia="Times New Roman"/>
          <w:b/>
          <w:iCs/>
          <w:sz w:val="20"/>
        </w:rPr>
        <w:t>Nástroja susedstva</w:t>
      </w:r>
      <w:r w:rsidR="000B13F0" w:rsidRPr="00FA1A54">
        <w:rPr>
          <w:rFonts w:eastAsia="Times New Roman"/>
          <w:iCs/>
          <w:sz w:val="20"/>
        </w:rPr>
        <w:t xml:space="preserve"> je možné identifikovať synergiu a komplementaritu</w:t>
      </w:r>
      <w:r w:rsidR="000B13F0" w:rsidRPr="00FA1A54">
        <w:rPr>
          <w:rFonts w:eastAsia="Times New Roman"/>
          <w:b/>
          <w:iCs/>
          <w:sz w:val="20"/>
        </w:rPr>
        <w:t xml:space="preserve"> </w:t>
      </w:r>
      <w:r w:rsidR="000B13F0" w:rsidRPr="00FA1A54">
        <w:rPr>
          <w:rFonts w:eastAsia="Times New Roman"/>
          <w:iCs/>
          <w:sz w:val="20"/>
        </w:rPr>
        <w:t xml:space="preserve">pre </w:t>
      </w:r>
      <w:r w:rsidRPr="000B13F0">
        <w:rPr>
          <w:rFonts w:eastAsia="Times New Roman"/>
          <w:iCs/>
          <w:sz w:val="20"/>
        </w:rPr>
        <w:t>Cieľ politiky 4 Sociálnejšia a inkluzívnejšia Európa, v oblasti posk</w:t>
      </w:r>
      <w:r w:rsidR="00BF50AC">
        <w:rPr>
          <w:rFonts w:eastAsia="Times New Roman"/>
          <w:iCs/>
          <w:sz w:val="20"/>
        </w:rPr>
        <w:t xml:space="preserve">ytovania pomoci pre migrantov, </w:t>
      </w:r>
      <w:r w:rsidRPr="000B13F0">
        <w:rPr>
          <w:rFonts w:eastAsia="Times New Roman"/>
          <w:iCs/>
          <w:sz w:val="20"/>
        </w:rPr>
        <w:t>na podporu inkluzívneho prístupu k ochrane zdravia, vzdelávania, spoločne s odbornou prípravou, sociálnou ochranou a podporou.</w:t>
      </w:r>
    </w:p>
    <w:p w:rsidR="00BF50AC" w:rsidRDefault="00BF50AC" w:rsidP="00997268">
      <w:pPr>
        <w:spacing w:before="60" w:after="60"/>
        <w:rPr>
          <w:rFonts w:eastAsia="Times New Roman"/>
          <w:iCs/>
          <w:sz w:val="20"/>
        </w:rPr>
      </w:pPr>
    </w:p>
    <w:p w:rsidR="0049541E" w:rsidRPr="000C0B7D" w:rsidRDefault="0049541E" w:rsidP="0049541E">
      <w:pPr>
        <w:spacing w:before="60" w:after="60"/>
        <w:rPr>
          <w:rFonts w:cstheme="minorHAnsi"/>
          <w:b/>
          <w:sz w:val="24"/>
          <w:szCs w:val="24"/>
        </w:rPr>
      </w:pPr>
      <w:r w:rsidRPr="000C0B7D">
        <w:rPr>
          <w:rFonts w:cstheme="minorHAnsi"/>
          <w:b/>
          <w:sz w:val="24"/>
          <w:szCs w:val="24"/>
        </w:rPr>
        <w:t>Cieľ politiky 5 Európa bližšie k občanom</w:t>
      </w:r>
    </w:p>
    <w:p w:rsidR="00006013" w:rsidRDefault="00006013" w:rsidP="00006013">
      <w:pPr>
        <w:spacing w:after="0" w:line="240" w:lineRule="auto"/>
        <w:jc w:val="both"/>
        <w:rPr>
          <w:rFonts w:eastAsia="Times New Roman"/>
          <w:sz w:val="20"/>
          <w:szCs w:val="20"/>
        </w:rPr>
      </w:pPr>
      <w:r w:rsidRPr="005B272D">
        <w:rPr>
          <w:rFonts w:eastAsia="Times New Roman"/>
          <w:sz w:val="20"/>
        </w:rPr>
        <w:t xml:space="preserve">Zdroje </w:t>
      </w:r>
      <w:r w:rsidRPr="007C6BFF">
        <w:rPr>
          <w:rFonts w:eastAsia="Times New Roman"/>
          <w:b/>
          <w:sz w:val="20"/>
          <w:u w:val="single"/>
        </w:rPr>
        <w:t>EFRR</w:t>
      </w:r>
      <w:r w:rsidRPr="005B272D">
        <w:rPr>
          <w:rFonts w:eastAsia="Times New Roman"/>
          <w:sz w:val="20"/>
        </w:rPr>
        <w:t xml:space="preserve"> budú môcť byť v rámci CP 5 komplementárne využívané s prostriedkami </w:t>
      </w:r>
      <w:r w:rsidRPr="007C6BFF">
        <w:rPr>
          <w:rFonts w:eastAsia="Times New Roman"/>
          <w:b/>
          <w:sz w:val="20"/>
          <w:u w:val="single"/>
        </w:rPr>
        <w:t>ESF+</w:t>
      </w:r>
      <w:r w:rsidRPr="005B272D">
        <w:rPr>
          <w:rFonts w:eastAsia="Times New Roman"/>
          <w:sz w:val="20"/>
        </w:rPr>
        <w:t>,</w:t>
      </w:r>
      <w:r w:rsidRPr="005B272D">
        <w:rPr>
          <w:rFonts w:eastAsia="Times New Roman"/>
          <w:b/>
          <w:sz w:val="20"/>
        </w:rPr>
        <w:t xml:space="preserve"> </w:t>
      </w:r>
      <w:r w:rsidRPr="005B272D">
        <w:rPr>
          <w:rFonts w:eastAsia="Times New Roman"/>
          <w:sz w:val="20"/>
        </w:rPr>
        <w:t>pre aktivity integrovaných územných investícií realizovaných spolu s aktivitami CP 5, najmä pri budovaní administratívnych a analyticko-strategických kapacít a podpory otvoreného vládnutia, ale aj realizáciou vzdelávacích, komunikačných a osvetových aktivít v oblasti zvýšenia bezpečnosti občanov, rozvoja cestovného ruchu a podpory obnovy prírodného ako aj kultúrneho dedičstva v inom ako štátnom vlastníctve.</w:t>
      </w:r>
      <w:r w:rsidRPr="005B272D">
        <w:rPr>
          <w:rFonts w:eastAsia="Times New Roman"/>
          <w:sz w:val="20"/>
          <w:szCs w:val="20"/>
        </w:rPr>
        <w:t xml:space="preserve"> </w:t>
      </w:r>
    </w:p>
    <w:p w:rsidR="00B27BE5" w:rsidRDefault="00B27BE5" w:rsidP="00006013">
      <w:pPr>
        <w:spacing w:after="0" w:line="240" w:lineRule="auto"/>
        <w:jc w:val="both"/>
        <w:rPr>
          <w:rFonts w:eastAsia="Times New Roman"/>
          <w:sz w:val="20"/>
          <w:szCs w:val="20"/>
        </w:rPr>
      </w:pPr>
    </w:p>
    <w:p w:rsidR="00B27BE5" w:rsidRPr="00994952" w:rsidRDefault="00D6135A" w:rsidP="00C54B4F">
      <w:pPr>
        <w:jc w:val="both"/>
        <w:rPr>
          <w:b/>
          <w:u w:val="single"/>
        </w:rPr>
      </w:pPr>
      <w:r w:rsidRPr="00994952">
        <w:rPr>
          <w:b/>
          <w:u w:val="single"/>
        </w:rPr>
        <w:t>Synergie s POO</w:t>
      </w:r>
    </w:p>
    <w:p w:rsidR="00560866" w:rsidRPr="00047A22" w:rsidRDefault="00560866" w:rsidP="009C7118">
      <w:pPr>
        <w:spacing w:after="0" w:line="240" w:lineRule="auto"/>
        <w:jc w:val="both"/>
        <w:rPr>
          <w:rFonts w:eastAsia="Times New Roman"/>
          <w:sz w:val="20"/>
        </w:rPr>
      </w:pPr>
      <w:r w:rsidRPr="00047A22">
        <w:rPr>
          <w:rFonts w:eastAsia="Times New Roman"/>
          <w:sz w:val="20"/>
        </w:rPr>
        <w:t>Investície realizované prostredníctvom IUI  v rámci CP1 - CP4 budú komplementárne podporované relevantnými aktivitami príslušných komponentov POO</w:t>
      </w:r>
      <w:r w:rsidR="00047A22" w:rsidRPr="00047A22">
        <w:rPr>
          <w:rFonts w:eastAsia="Times New Roman"/>
          <w:sz w:val="20"/>
        </w:rPr>
        <w:t>,</w:t>
      </w:r>
      <w:r w:rsidRPr="00047A22">
        <w:rPr>
          <w:rFonts w:eastAsia="Times New Roman"/>
          <w:sz w:val="20"/>
        </w:rPr>
        <w:t xml:space="preserve"> tak ako je identifikované v texte pri vyššie uvedených CP.</w:t>
      </w:r>
    </w:p>
    <w:p w:rsidR="00B27BE5" w:rsidRDefault="00CA2CDD" w:rsidP="009C7118">
      <w:pPr>
        <w:spacing w:after="0" w:line="240" w:lineRule="auto"/>
        <w:jc w:val="both"/>
        <w:rPr>
          <w:rFonts w:eastAsia="Times New Roman"/>
          <w:sz w:val="20"/>
        </w:rPr>
      </w:pPr>
      <w:r>
        <w:rPr>
          <w:rFonts w:eastAsia="Times New Roman"/>
          <w:sz w:val="20"/>
        </w:rPr>
        <w:t>Z </w:t>
      </w:r>
      <w:r w:rsidRPr="00CA2CDD">
        <w:rPr>
          <w:rFonts w:eastAsia="Times New Roman"/>
          <w:b/>
          <w:sz w:val="20"/>
          <w:u w:val="single"/>
        </w:rPr>
        <w:t>EFRR</w:t>
      </w:r>
      <w:r>
        <w:rPr>
          <w:rFonts w:eastAsia="Times New Roman"/>
          <w:sz w:val="20"/>
        </w:rPr>
        <w:t xml:space="preserve"> budú v rámci PO5 podporené cyklotrasy pre podporu významných turistických centier. </w:t>
      </w:r>
      <w:r w:rsidR="000B13F0" w:rsidRPr="000B13F0">
        <w:rPr>
          <w:rFonts w:eastAsia="Times New Roman"/>
          <w:sz w:val="20"/>
        </w:rPr>
        <w:t>Z</w:t>
      </w:r>
      <w:r w:rsidR="009C7118" w:rsidRPr="000B13F0">
        <w:rPr>
          <w:rFonts w:eastAsia="Times New Roman"/>
          <w:sz w:val="20"/>
        </w:rPr>
        <w:t>ákladnou deliacou líniou medzi POO a EFRR v oblasti podpory budovania cyklistickej infraštruktúry územný princíp.</w:t>
      </w:r>
      <w:r w:rsidR="009C7118" w:rsidRPr="00476A98">
        <w:rPr>
          <w:rFonts w:eastAsia="Times New Roman"/>
          <w:sz w:val="20"/>
        </w:rPr>
        <w:t xml:space="preserve"> V rámci </w:t>
      </w:r>
      <w:r w:rsidR="009C7118" w:rsidRPr="009C7118">
        <w:rPr>
          <w:rFonts w:eastAsia="Times New Roman"/>
          <w:b/>
          <w:sz w:val="20"/>
          <w:u w:val="single"/>
        </w:rPr>
        <w:t>POO</w:t>
      </w:r>
      <w:r w:rsidR="009C7118" w:rsidRPr="00476A98">
        <w:rPr>
          <w:rFonts w:eastAsia="Times New Roman"/>
          <w:sz w:val="20"/>
        </w:rPr>
        <w:t xml:space="preserve"> sú prípustné projekty na území miest nad 20 tisíc obyvateľov s presahom do okolitých obcí do vzdialenosti cca 5 km, resp. po najbližšiu obec.</w:t>
      </w:r>
      <w:r w:rsidR="009C7118">
        <w:rPr>
          <w:rFonts w:eastAsia="Times New Roman"/>
          <w:sz w:val="20"/>
        </w:rPr>
        <w:t xml:space="preserve"> Z POO bude p</w:t>
      </w:r>
      <w:r w:rsidR="009C7118" w:rsidRPr="00267209">
        <w:rPr>
          <w:rFonts w:eastAsia="Times New Roman"/>
          <w:sz w:val="20"/>
        </w:rPr>
        <w:t xml:space="preserve">odporovaná cyklistická infraštruktúra - nové / rekonštruované trasy v intraviláne aj extraviláne a cyklistické stojany na železničných zastávkach a staniciach, prípustné budú projekty v mestách s počtom nad 20 tisíc obyvateľov, s prípadným presahom do cca 5 km mimo mesta, resp. po najbližšiu obec, so zámerom zvýšenia podielu cyklistickej dopravy na celkovej deľbe prepravnej práce. </w:t>
      </w:r>
    </w:p>
    <w:p w:rsidR="000B13F0" w:rsidRDefault="000B13F0" w:rsidP="009C7118">
      <w:pPr>
        <w:spacing w:after="0" w:line="240" w:lineRule="auto"/>
        <w:jc w:val="both"/>
        <w:rPr>
          <w:rFonts w:eastAsia="Times New Roman"/>
          <w:sz w:val="20"/>
        </w:rPr>
      </w:pPr>
    </w:p>
    <w:p w:rsidR="00D6135A" w:rsidRPr="00994952" w:rsidRDefault="00D6135A" w:rsidP="00C54B4F">
      <w:pPr>
        <w:jc w:val="both"/>
        <w:rPr>
          <w:b/>
          <w:u w:val="single"/>
        </w:rPr>
      </w:pPr>
      <w:r w:rsidRPr="00994952">
        <w:rPr>
          <w:b/>
          <w:u w:val="single"/>
        </w:rPr>
        <w:t>Synergie s FST</w:t>
      </w:r>
    </w:p>
    <w:p w:rsidR="00997268" w:rsidRDefault="00A24710" w:rsidP="00997268">
      <w:pPr>
        <w:spacing w:after="0" w:line="240" w:lineRule="auto"/>
        <w:jc w:val="both"/>
        <w:rPr>
          <w:rFonts w:eastAsia="Times New Roman"/>
          <w:sz w:val="20"/>
        </w:rPr>
      </w:pPr>
      <w:r w:rsidRPr="00A24710">
        <w:rPr>
          <w:rFonts w:eastAsia="Times New Roman"/>
          <w:sz w:val="20"/>
        </w:rPr>
        <w:t>Intervencie z FST a ich územné zacielenie sú vymedzené v PST, pričom budú komplementárne podporovať investície v oblasti rozvoja miestnych komunít v rámci CP 5, najmä v kontexte zvýšenia participácie mladých ľudí. Ďalšie prieniky medzi CP 5 a FST sa neočakávajú.</w:t>
      </w:r>
    </w:p>
    <w:p w:rsidR="00A24710" w:rsidRPr="00997268" w:rsidRDefault="00A24710" w:rsidP="00997268">
      <w:pPr>
        <w:spacing w:after="0" w:line="240" w:lineRule="auto"/>
        <w:jc w:val="both"/>
        <w:rPr>
          <w:rFonts w:eastAsia="Times New Roman"/>
          <w:sz w:val="20"/>
        </w:rPr>
      </w:pPr>
    </w:p>
    <w:p w:rsidR="00D6135A" w:rsidRPr="00994952" w:rsidRDefault="00D6135A" w:rsidP="00C54B4F">
      <w:pPr>
        <w:jc w:val="both"/>
        <w:rPr>
          <w:b/>
          <w:u w:val="single"/>
        </w:rPr>
      </w:pPr>
      <w:r w:rsidRPr="00994952">
        <w:rPr>
          <w:b/>
          <w:u w:val="single"/>
        </w:rPr>
        <w:t>Synergie s EPFRV</w:t>
      </w:r>
    </w:p>
    <w:p w:rsidR="00997268" w:rsidRDefault="00997268" w:rsidP="00997268">
      <w:pPr>
        <w:spacing w:after="0" w:line="240" w:lineRule="auto"/>
        <w:jc w:val="both"/>
        <w:rPr>
          <w:rFonts w:eastAsia="Times New Roman"/>
          <w:sz w:val="20"/>
        </w:rPr>
      </w:pPr>
      <w:r>
        <w:rPr>
          <w:rFonts w:eastAsia="Times New Roman"/>
          <w:sz w:val="20"/>
        </w:rPr>
        <w:t>Z EPFRV sa podporia</w:t>
      </w:r>
      <w:r w:rsidRPr="008C7583">
        <w:rPr>
          <w:rFonts w:eastAsia="Times New Roman"/>
          <w:sz w:val="20"/>
        </w:rPr>
        <w:t> oblasti rozvoja sociálno – hospodársko- envir</w:t>
      </w:r>
      <w:r w:rsidRPr="00263222">
        <w:rPr>
          <w:rFonts w:eastAsia="Times New Roman"/>
          <w:sz w:val="20"/>
        </w:rPr>
        <w:t>onmentálneho miestneho rozvoja,</w:t>
      </w:r>
      <w:r w:rsidRPr="008C7583">
        <w:rPr>
          <w:rFonts w:eastAsia="Times New Roman"/>
          <w:sz w:val="20"/>
        </w:rPr>
        <w:t xml:space="preserve"> prírodného a kultúrneho dedičstva v oblasti podpory udržateľného cestovného ruchu. Zároveň prierezovo sa bude EPFRV – LEADER čiastočne orientovať na podporu zamestnanosti vo vidieckych oblastiach (potreba 8.1), posilnenie malých a stredných podnikateľských aktivít na vidieku (potreba 8.6) a posilnenie verejnej infraštruktúry a služieb na vidieku (potreba 8.7). Potreby vidieka v SR budú teda riešené prostredníctvom komplementárnosti medzi EPFRV a inými fondmi Únie, resp. nástrojmi EÚ. </w:t>
      </w:r>
    </w:p>
    <w:p w:rsidR="009517A5" w:rsidRDefault="009517A5" w:rsidP="00997268">
      <w:pPr>
        <w:spacing w:after="0" w:line="240" w:lineRule="auto"/>
        <w:jc w:val="both"/>
        <w:rPr>
          <w:rFonts w:eastAsia="Times New Roman"/>
          <w:sz w:val="20"/>
        </w:rPr>
      </w:pPr>
    </w:p>
    <w:p w:rsidR="009517A5" w:rsidRPr="00994952" w:rsidRDefault="00994952" w:rsidP="009517A5">
      <w:pPr>
        <w:spacing w:before="120" w:after="0" w:line="240" w:lineRule="auto"/>
        <w:jc w:val="both"/>
        <w:rPr>
          <w:rFonts w:eastAsia="Times New Roman"/>
          <w:b/>
          <w:u w:val="single"/>
        </w:rPr>
      </w:pPr>
      <w:r w:rsidRPr="00994952">
        <w:rPr>
          <w:rFonts w:eastAsia="Times New Roman"/>
          <w:b/>
          <w:u w:val="single"/>
        </w:rPr>
        <w:t xml:space="preserve">Synergie s </w:t>
      </w:r>
      <w:r w:rsidR="009517A5" w:rsidRPr="00994952">
        <w:rPr>
          <w:rFonts w:eastAsia="Times New Roman"/>
          <w:b/>
          <w:u w:val="single"/>
        </w:rPr>
        <w:t>Interreg SK-CZ</w:t>
      </w:r>
    </w:p>
    <w:p w:rsidR="009517A5" w:rsidRPr="009517A5" w:rsidRDefault="009517A5" w:rsidP="009517A5">
      <w:pPr>
        <w:spacing w:before="120" w:after="0" w:line="240" w:lineRule="auto"/>
        <w:jc w:val="both"/>
        <w:rPr>
          <w:rFonts w:eastAsia="Times New Roman"/>
          <w:sz w:val="20"/>
        </w:rPr>
      </w:pPr>
      <w:r w:rsidRPr="009517A5">
        <w:rPr>
          <w:rFonts w:eastAsia="Times New Roman"/>
          <w:sz w:val="20"/>
        </w:rPr>
        <w:t>Národné intervencie programu Slovensko v oblasti udržateľného rozvoja cestovného ruchu, cykloturistiky a kultúry, kvality verejných politík, a  spolupráce v komunite občianskej spoločnosti, ktoré budú realizované v rámci integrovaných územných stratégií a udržateľného mestského rozvoja, budú doplnené o komplementárne intervencie založené na cezhraničnej spolupráci a výmene skúseností medzi SR a ČR v rámci SO4.6, ISO6.2 a ISO6.3.</w:t>
      </w:r>
    </w:p>
    <w:p w:rsidR="0025709A" w:rsidRDefault="0025709A" w:rsidP="00997268">
      <w:pPr>
        <w:spacing w:after="0" w:line="240" w:lineRule="auto"/>
        <w:jc w:val="both"/>
        <w:rPr>
          <w:rFonts w:eastAsia="Times New Roman"/>
          <w:sz w:val="20"/>
        </w:rPr>
      </w:pPr>
    </w:p>
    <w:p w:rsidR="00997268" w:rsidRPr="00994952" w:rsidRDefault="00997268" w:rsidP="00997268">
      <w:pPr>
        <w:spacing w:line="240" w:lineRule="auto"/>
        <w:jc w:val="both"/>
        <w:rPr>
          <w:rFonts w:eastAsia="Times New Roman"/>
          <w:b/>
          <w:u w:val="single"/>
        </w:rPr>
      </w:pPr>
      <w:r w:rsidRPr="00994952">
        <w:rPr>
          <w:rFonts w:eastAsia="Times New Roman"/>
          <w:b/>
          <w:u w:val="single"/>
        </w:rPr>
        <w:t>Synergie s ostatnými nástrojmi podpory</w:t>
      </w:r>
    </w:p>
    <w:p w:rsidR="00997268" w:rsidRPr="005B272D" w:rsidRDefault="00997268" w:rsidP="00997268">
      <w:pPr>
        <w:spacing w:line="240" w:lineRule="auto"/>
        <w:jc w:val="both"/>
        <w:rPr>
          <w:rFonts w:eastAsia="Times New Roman"/>
          <w:sz w:val="20"/>
        </w:rPr>
      </w:pPr>
      <w:r w:rsidRPr="008C7583">
        <w:rPr>
          <w:rFonts w:eastAsia="Times New Roman"/>
          <w:b/>
          <w:sz w:val="20"/>
          <w:u w:val="single"/>
        </w:rPr>
        <w:t>Horizont Európa</w:t>
      </w:r>
      <w:r w:rsidRPr="005B272D">
        <w:rPr>
          <w:rFonts w:eastAsia="Times New Roman"/>
          <w:sz w:val="20"/>
        </w:rPr>
        <w:t xml:space="preserve"> v oblasti zvýšenia bezpečnosti obyvateľov a návštevníkov miest a obcí, a to v oblastiach ochrany zdravia, života a majetku občanov a prevencie kriminality.</w:t>
      </w:r>
    </w:p>
    <w:p w:rsidR="00997268" w:rsidRPr="005B272D" w:rsidRDefault="00997268" w:rsidP="00997268">
      <w:pPr>
        <w:spacing w:line="240" w:lineRule="auto"/>
        <w:jc w:val="both"/>
        <w:rPr>
          <w:rFonts w:eastAsia="Times New Roman"/>
          <w:sz w:val="20"/>
        </w:rPr>
      </w:pPr>
      <w:r w:rsidRPr="008C7583">
        <w:rPr>
          <w:rFonts w:eastAsia="Times New Roman"/>
          <w:b/>
          <w:sz w:val="20"/>
          <w:u w:val="single"/>
        </w:rPr>
        <w:t>Kreatívna Európa</w:t>
      </w:r>
      <w:r w:rsidRPr="005B272D">
        <w:rPr>
          <w:rFonts w:eastAsia="Times New Roman"/>
          <w:sz w:val="20"/>
        </w:rPr>
        <w:t xml:space="preserve"> v oblasti rozvoja kultúrneho dedičstva.</w:t>
      </w:r>
    </w:p>
    <w:p w:rsidR="00997268" w:rsidRPr="005B272D" w:rsidRDefault="00997268" w:rsidP="00997268">
      <w:pPr>
        <w:spacing w:line="240" w:lineRule="auto"/>
        <w:jc w:val="both"/>
        <w:rPr>
          <w:rFonts w:eastAsia="Times New Roman"/>
          <w:sz w:val="20"/>
          <w:u w:val="single"/>
        </w:rPr>
      </w:pPr>
      <w:r w:rsidRPr="008C7583">
        <w:rPr>
          <w:rFonts w:eastAsia="Times New Roman"/>
          <w:b/>
          <w:sz w:val="20"/>
          <w:u w:val="single"/>
        </w:rPr>
        <w:t>Erasmus+</w:t>
      </w:r>
      <w:r w:rsidRPr="005B272D">
        <w:rPr>
          <w:rFonts w:eastAsia="Times New Roman"/>
          <w:sz w:val="20"/>
        </w:rPr>
        <w:t xml:space="preserve"> v oblasti podpory rozvoja menej rozvinutých regiónov prostredníctvom vzdelávania a odbornej prípravy.</w:t>
      </w:r>
    </w:p>
    <w:p w:rsidR="00997268" w:rsidRDefault="00997268" w:rsidP="00997268">
      <w:pPr>
        <w:rPr>
          <w:rFonts w:eastAsia="Times New Roman"/>
          <w:sz w:val="20"/>
        </w:rPr>
      </w:pPr>
      <w:r w:rsidRPr="008C7583">
        <w:rPr>
          <w:rFonts w:eastAsia="Times New Roman"/>
          <w:b/>
          <w:sz w:val="20"/>
          <w:u w:val="single"/>
        </w:rPr>
        <w:t>Fond pre vnútornú bezpečnosť</w:t>
      </w:r>
      <w:r w:rsidRPr="005B272D">
        <w:rPr>
          <w:rFonts w:eastAsia="Times New Roman"/>
          <w:sz w:val="20"/>
        </w:rPr>
        <w:t xml:space="preserve"> v oblasti </w:t>
      </w:r>
      <w:r w:rsidRPr="00B16A37">
        <w:rPr>
          <w:rFonts w:eastAsia="Times New Roman"/>
          <w:sz w:val="20"/>
        </w:rPr>
        <w:t>boja s kriminalitou a zaistenie bezpečnosti občanov v mestských oblastiach a iných ako mestských oblastiach</w:t>
      </w:r>
      <w:r w:rsidRPr="005B272D">
        <w:rPr>
          <w:rFonts w:eastAsia="Times New Roman"/>
          <w:sz w:val="20"/>
        </w:rPr>
        <w:t>.</w:t>
      </w:r>
    </w:p>
    <w:p w:rsidR="00997268" w:rsidRDefault="00997268" w:rsidP="00997268">
      <w:pPr>
        <w:rPr>
          <w:rFonts w:cstheme="minorHAnsi"/>
          <w:b/>
          <w:bCs/>
          <w:sz w:val="24"/>
          <w:szCs w:val="24"/>
        </w:rPr>
      </w:pPr>
    </w:p>
    <w:p w:rsidR="000E684B" w:rsidRPr="00B42805" w:rsidRDefault="00651ACA" w:rsidP="00B42805">
      <w:pPr>
        <w:jc w:val="both"/>
        <w:rPr>
          <w:rFonts w:cstheme="minorHAnsi"/>
          <w:b/>
          <w:bCs/>
          <w:sz w:val="24"/>
          <w:szCs w:val="24"/>
          <w:u w:val="single"/>
        </w:rPr>
      </w:pPr>
      <w:r w:rsidRPr="00B42805">
        <w:rPr>
          <w:rFonts w:cstheme="minorHAnsi"/>
          <w:b/>
          <w:bCs/>
          <w:sz w:val="24"/>
          <w:szCs w:val="24"/>
          <w:u w:val="single"/>
        </w:rPr>
        <w:t>Synergie</w:t>
      </w:r>
      <w:r w:rsidR="00663DEE" w:rsidRPr="00B42805">
        <w:rPr>
          <w:rFonts w:cstheme="minorHAnsi"/>
          <w:b/>
          <w:bCs/>
          <w:sz w:val="24"/>
          <w:szCs w:val="24"/>
          <w:u w:val="single"/>
        </w:rPr>
        <w:t xml:space="preserve"> a</w:t>
      </w:r>
      <w:r w:rsidRPr="00B42805">
        <w:rPr>
          <w:rFonts w:cstheme="minorHAnsi"/>
          <w:b/>
          <w:bCs/>
          <w:sz w:val="24"/>
          <w:szCs w:val="24"/>
          <w:u w:val="single"/>
        </w:rPr>
        <w:t> </w:t>
      </w:r>
      <w:r w:rsidR="000E684B" w:rsidRPr="00B42805">
        <w:rPr>
          <w:rFonts w:cstheme="minorHAnsi"/>
          <w:b/>
          <w:bCs/>
          <w:sz w:val="24"/>
          <w:szCs w:val="24"/>
          <w:u w:val="single"/>
        </w:rPr>
        <w:t>komplementari</w:t>
      </w:r>
      <w:r w:rsidR="007E568E">
        <w:rPr>
          <w:rFonts w:cstheme="minorHAnsi"/>
          <w:b/>
          <w:bCs/>
          <w:sz w:val="24"/>
          <w:szCs w:val="24"/>
          <w:u w:val="single"/>
        </w:rPr>
        <w:t>ty</w:t>
      </w:r>
      <w:r w:rsidR="00B42805" w:rsidRPr="00B42805">
        <w:rPr>
          <w:rFonts w:cstheme="minorHAnsi"/>
          <w:b/>
          <w:bCs/>
          <w:sz w:val="24"/>
          <w:szCs w:val="24"/>
          <w:u w:val="single"/>
        </w:rPr>
        <w:t xml:space="preserve"> </w:t>
      </w:r>
      <w:r w:rsidRPr="00B42805">
        <w:rPr>
          <w:rFonts w:cstheme="minorHAnsi"/>
          <w:b/>
          <w:bCs/>
          <w:sz w:val="24"/>
          <w:szCs w:val="24"/>
          <w:u w:val="single"/>
        </w:rPr>
        <w:t>HOME fon</w:t>
      </w:r>
      <w:r w:rsidRPr="000B13F0">
        <w:rPr>
          <w:rFonts w:cstheme="minorHAnsi"/>
          <w:b/>
          <w:bCs/>
          <w:sz w:val="24"/>
          <w:szCs w:val="24"/>
          <w:u w:val="single"/>
        </w:rPr>
        <w:t>d</w:t>
      </w:r>
      <w:r w:rsidR="000B13F0" w:rsidRPr="000B13F0">
        <w:rPr>
          <w:rFonts w:cstheme="minorHAnsi"/>
          <w:b/>
          <w:bCs/>
          <w:sz w:val="24"/>
          <w:szCs w:val="24"/>
          <w:u w:val="single"/>
        </w:rPr>
        <w:t>ov</w:t>
      </w:r>
    </w:p>
    <w:p w:rsidR="000E684B" w:rsidRPr="00BF50AC" w:rsidRDefault="000E684B" w:rsidP="000E684B">
      <w:pPr>
        <w:shd w:val="clear" w:color="auto" w:fill="FFFFFF"/>
        <w:spacing w:after="0" w:line="240" w:lineRule="auto"/>
        <w:jc w:val="both"/>
        <w:rPr>
          <w:rFonts w:eastAsia="Times New Roman" w:cstheme="minorHAnsi"/>
          <w:color w:val="404040"/>
          <w:sz w:val="20"/>
          <w:szCs w:val="20"/>
          <w:lang w:eastAsia="sk-SK"/>
        </w:rPr>
      </w:pPr>
      <w:r w:rsidRPr="00BF50AC">
        <w:rPr>
          <w:rFonts w:eastAsia="Times New Roman" w:cstheme="minorHAnsi"/>
          <w:b/>
          <w:bCs/>
          <w:color w:val="404040"/>
          <w:sz w:val="20"/>
          <w:szCs w:val="20"/>
          <w:u w:val="single"/>
          <w:lang w:eastAsia="sk-SK"/>
        </w:rPr>
        <w:t>Fond pre vnútornú bezpečnosť</w:t>
      </w:r>
      <w:r w:rsidRPr="00BF50AC">
        <w:rPr>
          <w:rFonts w:eastAsia="Times New Roman" w:cstheme="minorHAnsi"/>
          <w:color w:val="404040"/>
          <w:sz w:val="20"/>
          <w:szCs w:val="20"/>
          <w:lang w:eastAsia="sk-SK"/>
        </w:rPr>
        <w:t> (ISF) prispeje k zaisteniu vysokej úrovne bezpečnosti v Únii, a to najmä prostredníctvom</w:t>
      </w:r>
    </w:p>
    <w:p w:rsidR="000E684B" w:rsidRPr="00BF50AC" w:rsidRDefault="000E684B" w:rsidP="000E684B">
      <w:pPr>
        <w:numPr>
          <w:ilvl w:val="0"/>
          <w:numId w:val="1"/>
        </w:numPr>
        <w:shd w:val="clear" w:color="auto" w:fill="FFFFFF"/>
        <w:spacing w:after="0" w:line="240" w:lineRule="auto"/>
        <w:jc w:val="both"/>
        <w:rPr>
          <w:rFonts w:eastAsia="Times New Roman" w:cstheme="minorHAnsi"/>
          <w:color w:val="404040"/>
          <w:sz w:val="20"/>
          <w:szCs w:val="20"/>
          <w:lang w:eastAsia="sk-SK"/>
        </w:rPr>
      </w:pPr>
      <w:r w:rsidRPr="00BF50AC">
        <w:rPr>
          <w:rFonts w:eastAsia="Times New Roman" w:cstheme="minorHAnsi"/>
          <w:color w:val="404040"/>
          <w:sz w:val="20"/>
          <w:szCs w:val="20"/>
          <w:lang w:eastAsia="sk-SK"/>
        </w:rPr>
        <w:t>predchádzania terorizmu a radikalizácii, závažnej a organizovanej trestnej činnosti a počítačovej kriminalite a boja proti nim,</w:t>
      </w:r>
    </w:p>
    <w:p w:rsidR="000E684B" w:rsidRPr="00BF50AC" w:rsidRDefault="000E684B" w:rsidP="000E684B">
      <w:pPr>
        <w:numPr>
          <w:ilvl w:val="0"/>
          <w:numId w:val="1"/>
        </w:numPr>
        <w:shd w:val="clear" w:color="auto" w:fill="FFFFFF"/>
        <w:spacing w:after="0" w:line="240" w:lineRule="auto"/>
        <w:jc w:val="both"/>
        <w:rPr>
          <w:rFonts w:eastAsia="Times New Roman" w:cstheme="minorHAnsi"/>
          <w:color w:val="404040"/>
          <w:sz w:val="20"/>
          <w:szCs w:val="20"/>
          <w:lang w:eastAsia="sk-SK"/>
        </w:rPr>
      </w:pPr>
      <w:r w:rsidRPr="00BF50AC">
        <w:rPr>
          <w:rFonts w:eastAsia="Times New Roman" w:cstheme="minorHAnsi"/>
          <w:color w:val="404040"/>
          <w:sz w:val="20"/>
          <w:szCs w:val="20"/>
          <w:lang w:eastAsia="sk-SK"/>
        </w:rPr>
        <w:t>pomoci obetiam trestných činov a ich ochrany,</w:t>
      </w:r>
    </w:p>
    <w:p w:rsidR="000E684B" w:rsidRPr="00BF50AC" w:rsidRDefault="000E684B" w:rsidP="000E684B">
      <w:pPr>
        <w:numPr>
          <w:ilvl w:val="0"/>
          <w:numId w:val="1"/>
        </w:numPr>
        <w:shd w:val="clear" w:color="auto" w:fill="FFFFFF"/>
        <w:spacing w:after="0" w:line="240" w:lineRule="auto"/>
        <w:jc w:val="both"/>
        <w:rPr>
          <w:rFonts w:eastAsia="Times New Roman" w:cstheme="minorHAnsi"/>
          <w:color w:val="404040"/>
          <w:sz w:val="20"/>
          <w:szCs w:val="20"/>
          <w:lang w:eastAsia="sk-SK"/>
        </w:rPr>
      </w:pPr>
      <w:r w:rsidRPr="00BF50AC">
        <w:rPr>
          <w:rFonts w:eastAsia="Times New Roman" w:cstheme="minorHAnsi"/>
          <w:color w:val="404040"/>
          <w:sz w:val="20"/>
          <w:szCs w:val="20"/>
          <w:lang w:eastAsia="sk-SK"/>
        </w:rPr>
        <w:t>prípravy na incidenty, riziká a krízy súvisiace s bezpečnosťou, ochrany pred nimi a ich účinného riadenia.</w:t>
      </w:r>
    </w:p>
    <w:p w:rsidR="000E684B" w:rsidRPr="00BF50AC" w:rsidRDefault="000E684B" w:rsidP="000E684B">
      <w:pPr>
        <w:shd w:val="clear" w:color="auto" w:fill="FFFFFF"/>
        <w:spacing w:after="0" w:line="240" w:lineRule="auto"/>
        <w:jc w:val="both"/>
        <w:rPr>
          <w:rFonts w:eastAsia="Times New Roman" w:cstheme="minorHAnsi"/>
          <w:b/>
          <w:color w:val="404040"/>
          <w:sz w:val="20"/>
          <w:szCs w:val="20"/>
          <w:lang w:eastAsia="sk-SK"/>
        </w:rPr>
      </w:pPr>
    </w:p>
    <w:p w:rsidR="000E684B" w:rsidRPr="00BF50AC" w:rsidRDefault="000E684B" w:rsidP="000E684B">
      <w:pPr>
        <w:shd w:val="clear" w:color="auto" w:fill="FFFFFF"/>
        <w:spacing w:after="0" w:line="240" w:lineRule="auto"/>
        <w:jc w:val="both"/>
        <w:rPr>
          <w:rFonts w:eastAsia="Times New Roman" w:cstheme="minorHAnsi"/>
          <w:b/>
          <w:color w:val="404040"/>
          <w:sz w:val="20"/>
          <w:szCs w:val="20"/>
          <w:lang w:eastAsia="sk-SK"/>
        </w:rPr>
      </w:pPr>
      <w:r w:rsidRPr="00BF50AC">
        <w:rPr>
          <w:rFonts w:eastAsia="Times New Roman" w:cstheme="minorHAnsi"/>
          <w:b/>
          <w:color w:val="404040"/>
          <w:sz w:val="20"/>
          <w:szCs w:val="20"/>
          <w:lang w:eastAsia="sk-SK"/>
        </w:rPr>
        <w:t>Fond podporuje širokú škálu opatrení v súlade s Európskym programom v oblasti bezpečnosti vrátane opatrení, ako sú</w:t>
      </w:r>
      <w:r w:rsidR="00B42805" w:rsidRPr="00BF50AC">
        <w:rPr>
          <w:rFonts w:eastAsia="Times New Roman" w:cstheme="minorHAnsi"/>
          <w:b/>
          <w:color w:val="404040"/>
          <w:sz w:val="20"/>
          <w:szCs w:val="20"/>
          <w:lang w:eastAsia="sk-SK"/>
        </w:rPr>
        <w:t>:</w:t>
      </w:r>
    </w:p>
    <w:p w:rsidR="000E684B" w:rsidRPr="00BF50AC" w:rsidRDefault="000E684B" w:rsidP="000C0B7D">
      <w:pPr>
        <w:pStyle w:val="Odsekzoznamu"/>
        <w:numPr>
          <w:ilvl w:val="0"/>
          <w:numId w:val="5"/>
        </w:numPr>
        <w:spacing w:before="60" w:after="60" w:line="240" w:lineRule="auto"/>
        <w:contextualSpacing w:val="0"/>
        <w:jc w:val="both"/>
        <w:rPr>
          <w:rFonts w:cstheme="minorHAnsi"/>
          <w:sz w:val="20"/>
          <w:szCs w:val="20"/>
        </w:rPr>
      </w:pPr>
      <w:r w:rsidRPr="00BF50AC">
        <w:rPr>
          <w:rFonts w:cstheme="minorHAnsi"/>
          <w:sz w:val="20"/>
          <w:szCs w:val="20"/>
        </w:rPr>
        <w:t>nákup/obstarávanie systémov IKT a súvisiaca odborná príprava, testovanie, ako aj ich zlepšená interoperabilita a kvalita údajov,</w:t>
      </w:r>
    </w:p>
    <w:p w:rsidR="000E684B" w:rsidRPr="00BF50AC" w:rsidRDefault="000E684B" w:rsidP="000C0B7D">
      <w:pPr>
        <w:pStyle w:val="Odsekzoznamu"/>
        <w:numPr>
          <w:ilvl w:val="0"/>
          <w:numId w:val="5"/>
        </w:numPr>
        <w:spacing w:before="60" w:after="60" w:line="240" w:lineRule="auto"/>
        <w:contextualSpacing w:val="0"/>
        <w:jc w:val="both"/>
        <w:rPr>
          <w:rFonts w:cstheme="minorHAnsi"/>
          <w:sz w:val="20"/>
          <w:szCs w:val="20"/>
        </w:rPr>
      </w:pPr>
      <w:r w:rsidRPr="00BF50AC">
        <w:rPr>
          <w:rFonts w:cstheme="minorHAnsi"/>
          <w:sz w:val="20"/>
          <w:szCs w:val="20"/>
        </w:rPr>
        <w:t>monitorovanie vykonávania práva EÚ a cieľov politiky v členských štátoch v oblasti bezpečnostných informačných systémov,</w:t>
      </w:r>
    </w:p>
    <w:p w:rsidR="000E684B" w:rsidRPr="00BF50AC" w:rsidRDefault="000E684B" w:rsidP="000C0B7D">
      <w:pPr>
        <w:pStyle w:val="Odsekzoznamu"/>
        <w:numPr>
          <w:ilvl w:val="0"/>
          <w:numId w:val="5"/>
        </w:numPr>
        <w:spacing w:before="60" w:after="60" w:line="240" w:lineRule="auto"/>
        <w:contextualSpacing w:val="0"/>
        <w:jc w:val="both"/>
        <w:rPr>
          <w:rFonts w:cstheme="minorHAnsi"/>
          <w:sz w:val="20"/>
          <w:szCs w:val="20"/>
        </w:rPr>
      </w:pPr>
      <w:r w:rsidRPr="00BF50AC">
        <w:rPr>
          <w:rFonts w:cstheme="minorHAnsi"/>
          <w:sz w:val="20"/>
          <w:szCs w:val="20"/>
        </w:rPr>
        <w:t>vykonávanie operácií alebo uľahčenie vykonávania cyklu politík EÚ/EMPACT (Európska multidisciplinárna platforma proti hrozbám trestnej činnosti),</w:t>
      </w:r>
    </w:p>
    <w:p w:rsidR="000E684B" w:rsidRPr="00BF50AC" w:rsidRDefault="000E684B" w:rsidP="000C0B7D">
      <w:pPr>
        <w:pStyle w:val="Odsekzoznamu"/>
        <w:numPr>
          <w:ilvl w:val="0"/>
          <w:numId w:val="5"/>
        </w:numPr>
        <w:spacing w:before="60" w:after="60" w:line="240" w:lineRule="auto"/>
        <w:contextualSpacing w:val="0"/>
        <w:jc w:val="both"/>
        <w:rPr>
          <w:rFonts w:cstheme="minorHAnsi"/>
          <w:sz w:val="20"/>
          <w:szCs w:val="20"/>
        </w:rPr>
      </w:pPr>
      <w:r w:rsidRPr="00BF50AC">
        <w:rPr>
          <w:rFonts w:cstheme="minorHAnsi"/>
          <w:sz w:val="20"/>
          <w:szCs w:val="20"/>
        </w:rPr>
        <w:t>podpora monotematických alebo prierezových sietí špecializovaných národných jednotiek s cieľom zlepšiť vzájomnú dôveru, výmenu a šírenie know-how, informácií, skúseností a najlepších postupov, združovanie zdrojov a odborných znalostí v spoločných centrách excelentnosti,</w:t>
      </w:r>
    </w:p>
    <w:p w:rsidR="000E684B" w:rsidRPr="00BF50AC" w:rsidRDefault="000E684B" w:rsidP="000C0B7D">
      <w:pPr>
        <w:pStyle w:val="Odsekzoznamu"/>
        <w:numPr>
          <w:ilvl w:val="0"/>
          <w:numId w:val="5"/>
        </w:numPr>
        <w:spacing w:before="60" w:after="60" w:line="240" w:lineRule="auto"/>
        <w:contextualSpacing w:val="0"/>
        <w:jc w:val="both"/>
        <w:rPr>
          <w:rFonts w:cstheme="minorHAnsi"/>
          <w:sz w:val="20"/>
          <w:szCs w:val="20"/>
        </w:rPr>
      </w:pPr>
      <w:r w:rsidRPr="00BF50AC">
        <w:rPr>
          <w:rFonts w:cstheme="minorHAnsi"/>
          <w:sz w:val="20"/>
          <w:szCs w:val="20"/>
        </w:rPr>
        <w:t>vzdelávanie a odborná príprava príslušných orgánov presadzovania práva, justičných orgánov a správnych orgánov.</w:t>
      </w:r>
    </w:p>
    <w:p w:rsidR="000E684B" w:rsidRPr="00BF50AC" w:rsidRDefault="000E684B" w:rsidP="000E684B">
      <w:pPr>
        <w:shd w:val="clear" w:color="auto" w:fill="FFFFFF"/>
        <w:spacing w:after="0" w:line="240" w:lineRule="auto"/>
        <w:ind w:left="720"/>
        <w:jc w:val="both"/>
        <w:rPr>
          <w:rFonts w:eastAsia="Times New Roman" w:cstheme="minorHAnsi"/>
          <w:color w:val="404040"/>
          <w:sz w:val="20"/>
          <w:szCs w:val="20"/>
          <w:lang w:eastAsia="sk-SK"/>
        </w:rPr>
      </w:pPr>
    </w:p>
    <w:p w:rsidR="000E684B" w:rsidRPr="00BF50AC" w:rsidRDefault="000E684B" w:rsidP="000E684B">
      <w:pPr>
        <w:jc w:val="both"/>
        <w:rPr>
          <w:b/>
          <w:sz w:val="20"/>
          <w:szCs w:val="20"/>
        </w:rPr>
      </w:pPr>
      <w:r w:rsidRPr="00BF50AC">
        <w:rPr>
          <w:b/>
          <w:sz w:val="20"/>
          <w:szCs w:val="20"/>
        </w:rPr>
        <w:t>Vo vzťahu k Programu Slovensko boli identifikované nasledovné možné synergie a komplementarity:</w:t>
      </w:r>
    </w:p>
    <w:p w:rsidR="000E684B" w:rsidRPr="00BF50AC" w:rsidRDefault="000E684B" w:rsidP="000E684B">
      <w:pPr>
        <w:pStyle w:val="Odsekzoznamu"/>
        <w:numPr>
          <w:ilvl w:val="0"/>
          <w:numId w:val="5"/>
        </w:numPr>
        <w:spacing w:before="60" w:after="60" w:line="240" w:lineRule="auto"/>
        <w:contextualSpacing w:val="0"/>
        <w:jc w:val="both"/>
        <w:rPr>
          <w:rFonts w:cstheme="minorHAnsi"/>
          <w:sz w:val="20"/>
          <w:szCs w:val="20"/>
        </w:rPr>
      </w:pPr>
      <w:r w:rsidRPr="00BF50AC">
        <w:rPr>
          <w:rFonts w:cstheme="minorHAnsi"/>
          <w:sz w:val="20"/>
          <w:szCs w:val="20"/>
        </w:rPr>
        <w:lastRenderedPageBreak/>
        <w:t>pre</w:t>
      </w:r>
      <w:r w:rsidRPr="00BF50AC">
        <w:rPr>
          <w:rFonts w:cstheme="minorHAnsi"/>
          <w:b/>
          <w:sz w:val="20"/>
          <w:szCs w:val="20"/>
        </w:rPr>
        <w:t xml:space="preserve"> Cieľ politiky 1</w:t>
      </w:r>
      <w:r w:rsidRPr="00BF50AC">
        <w:rPr>
          <w:rFonts w:cstheme="minorHAnsi"/>
          <w:sz w:val="20"/>
          <w:szCs w:val="20"/>
        </w:rPr>
        <w:t xml:space="preserve">  na využívanie prínosov digitalizácie pre občanov, podniky, výskumné organizácie a orgány verejnej správy, v oblastiach súvisiacich s bezpečnou a efektívnou výmenou informácií a interoperabilitou bezpečnostných IT systémov</w:t>
      </w:r>
    </w:p>
    <w:p w:rsidR="002F51E1" w:rsidRPr="00BF50AC" w:rsidRDefault="002F51E1" w:rsidP="002F51E1">
      <w:pPr>
        <w:pStyle w:val="Odsekzoznamu"/>
        <w:numPr>
          <w:ilvl w:val="0"/>
          <w:numId w:val="5"/>
        </w:numPr>
        <w:spacing w:line="240" w:lineRule="auto"/>
        <w:jc w:val="both"/>
        <w:rPr>
          <w:rFonts w:eastAsia="Times New Roman" w:cs="Times New Roman"/>
          <w:iCs/>
          <w:sz w:val="20"/>
          <w:szCs w:val="20"/>
        </w:rPr>
      </w:pPr>
      <w:r w:rsidRPr="00BF50AC">
        <w:rPr>
          <w:rFonts w:eastAsia="Times New Roman"/>
          <w:b/>
          <w:iCs/>
          <w:sz w:val="20"/>
          <w:szCs w:val="20"/>
        </w:rPr>
        <w:t>pre Cieľ politiky 2</w:t>
      </w:r>
      <w:r w:rsidRPr="00BF50AC">
        <w:rPr>
          <w:rFonts w:eastAsia="Times New Roman"/>
          <w:iCs/>
          <w:sz w:val="20"/>
          <w:szCs w:val="20"/>
        </w:rPr>
        <w:t xml:space="preserve"> </w:t>
      </w:r>
      <w:r w:rsidRPr="00BF50AC">
        <w:rPr>
          <w:rFonts w:cstheme="minorHAnsi"/>
          <w:sz w:val="20"/>
          <w:szCs w:val="20"/>
        </w:rPr>
        <w:t>v oblastiach súvisiacich s environmentálnou kriminalitou</w:t>
      </w:r>
    </w:p>
    <w:p w:rsidR="000E684B" w:rsidRPr="00BF50AC" w:rsidRDefault="000E684B" w:rsidP="000E684B">
      <w:pPr>
        <w:pStyle w:val="Odsekzoznamu"/>
        <w:numPr>
          <w:ilvl w:val="0"/>
          <w:numId w:val="5"/>
        </w:numPr>
        <w:spacing w:before="60" w:after="60" w:line="240" w:lineRule="auto"/>
        <w:contextualSpacing w:val="0"/>
        <w:jc w:val="both"/>
        <w:rPr>
          <w:rFonts w:cstheme="minorHAnsi"/>
          <w:sz w:val="20"/>
          <w:szCs w:val="20"/>
        </w:rPr>
      </w:pPr>
      <w:r w:rsidRPr="00BF50AC">
        <w:rPr>
          <w:rFonts w:cstheme="minorHAnsi"/>
          <w:b/>
          <w:sz w:val="20"/>
          <w:szCs w:val="20"/>
        </w:rPr>
        <w:t xml:space="preserve">pre Cieľ politiky 4 </w:t>
      </w:r>
      <w:r w:rsidRPr="00BF50AC">
        <w:rPr>
          <w:rFonts w:cstheme="minorHAnsi"/>
          <w:sz w:val="20"/>
          <w:szCs w:val="20"/>
        </w:rPr>
        <w:t>v oblasti predchádzania a boja proti drogovej kriminalite, na prevenciu a elimináciu násilia na ženách a deťoch, vrátane podpory prostredníctvom IKT a v oblasti predchádzania a boja proti terorizmu, extrémizmu, korupcii a radikalizácii</w:t>
      </w:r>
    </w:p>
    <w:p w:rsidR="000E684B" w:rsidRPr="00BF50AC" w:rsidRDefault="000E684B" w:rsidP="000E684B">
      <w:pPr>
        <w:pStyle w:val="Odsekzoznamu"/>
        <w:numPr>
          <w:ilvl w:val="0"/>
          <w:numId w:val="5"/>
        </w:numPr>
        <w:spacing w:before="60" w:after="60" w:line="240" w:lineRule="auto"/>
        <w:contextualSpacing w:val="0"/>
        <w:jc w:val="both"/>
        <w:rPr>
          <w:rFonts w:cstheme="minorHAnsi"/>
          <w:sz w:val="20"/>
          <w:szCs w:val="20"/>
        </w:rPr>
      </w:pPr>
      <w:r w:rsidRPr="00BF50AC">
        <w:rPr>
          <w:rFonts w:cstheme="minorHAnsi"/>
          <w:sz w:val="20"/>
          <w:szCs w:val="20"/>
        </w:rPr>
        <w:t>pre</w:t>
      </w:r>
      <w:r w:rsidRPr="00BF50AC">
        <w:rPr>
          <w:rFonts w:cstheme="minorHAnsi"/>
          <w:b/>
          <w:sz w:val="20"/>
          <w:szCs w:val="20"/>
        </w:rPr>
        <w:t xml:space="preserve"> Cieľ politiky 5 </w:t>
      </w:r>
      <w:r w:rsidRPr="00BF50AC">
        <w:rPr>
          <w:rFonts w:cstheme="minorHAnsi"/>
          <w:sz w:val="20"/>
          <w:szCs w:val="20"/>
        </w:rPr>
        <w:t>na oblasť boja s kriminalitou a zaistenie bezpečnosti občanov v mestských oblastiach a iných ako mestských oblastiach</w:t>
      </w:r>
    </w:p>
    <w:p w:rsidR="000E684B" w:rsidRPr="00BF50AC" w:rsidRDefault="000E684B" w:rsidP="000E684B">
      <w:pPr>
        <w:spacing w:before="60" w:after="60"/>
        <w:jc w:val="both"/>
        <w:rPr>
          <w:rFonts w:cstheme="minorHAnsi"/>
          <w:sz w:val="20"/>
          <w:szCs w:val="20"/>
        </w:rPr>
      </w:pPr>
      <w:r w:rsidRPr="00BF50AC">
        <w:rPr>
          <w:rFonts w:cstheme="minorHAnsi"/>
          <w:sz w:val="20"/>
          <w:szCs w:val="20"/>
        </w:rPr>
        <w:t>Pre cieľ politiky 3 synergia a komplementarita nebola s Fondom pre vnútornú bezpečnosť identifikovaná.</w:t>
      </w:r>
    </w:p>
    <w:p w:rsidR="000E684B" w:rsidRPr="00BF50AC" w:rsidRDefault="000E684B" w:rsidP="000E684B">
      <w:pPr>
        <w:rPr>
          <w:sz w:val="20"/>
          <w:szCs w:val="20"/>
        </w:rPr>
      </w:pPr>
    </w:p>
    <w:p w:rsidR="000E684B" w:rsidRPr="00BF50AC" w:rsidRDefault="000E684B" w:rsidP="000E684B">
      <w:pPr>
        <w:shd w:val="clear" w:color="auto" w:fill="FFFFFF"/>
        <w:spacing w:after="0" w:line="240" w:lineRule="auto"/>
        <w:jc w:val="both"/>
        <w:rPr>
          <w:rFonts w:eastAsia="Times New Roman" w:cstheme="minorHAnsi"/>
          <w:b/>
          <w:sz w:val="20"/>
          <w:szCs w:val="20"/>
          <w:u w:val="single"/>
          <w:lang w:eastAsia="sk-SK"/>
        </w:rPr>
      </w:pPr>
      <w:r w:rsidRPr="00BF50AC">
        <w:rPr>
          <w:rFonts w:eastAsia="Times New Roman" w:cstheme="minorHAnsi"/>
          <w:b/>
          <w:sz w:val="20"/>
          <w:szCs w:val="20"/>
          <w:u w:val="single"/>
          <w:lang w:eastAsia="sk-SK"/>
        </w:rPr>
        <w:t>Fond pre azyl, migráciu a integráciu (AMIF) prispeje k</w:t>
      </w:r>
      <w:r w:rsidR="00B42805" w:rsidRPr="00BF50AC">
        <w:rPr>
          <w:rFonts w:eastAsia="Times New Roman" w:cstheme="minorHAnsi"/>
          <w:b/>
          <w:sz w:val="20"/>
          <w:szCs w:val="20"/>
          <w:u w:val="single"/>
          <w:lang w:eastAsia="sk-SK"/>
        </w:rPr>
        <w:t>:</w:t>
      </w:r>
    </w:p>
    <w:p w:rsidR="000E684B" w:rsidRPr="00BF50AC" w:rsidRDefault="000E684B" w:rsidP="000E684B">
      <w:pPr>
        <w:pStyle w:val="Odsekzoznamu"/>
        <w:numPr>
          <w:ilvl w:val="0"/>
          <w:numId w:val="5"/>
        </w:numPr>
        <w:spacing w:before="60" w:after="60" w:line="240" w:lineRule="auto"/>
        <w:contextualSpacing w:val="0"/>
        <w:jc w:val="both"/>
        <w:rPr>
          <w:rFonts w:cstheme="minorHAnsi"/>
          <w:sz w:val="20"/>
          <w:szCs w:val="20"/>
        </w:rPr>
      </w:pPr>
      <w:r w:rsidRPr="00BF50AC">
        <w:rPr>
          <w:rFonts w:eastAsia="Times New Roman" w:cstheme="minorHAnsi"/>
          <w:color w:val="404040"/>
          <w:sz w:val="20"/>
          <w:szCs w:val="20"/>
          <w:lang w:eastAsia="sk-SK"/>
        </w:rPr>
        <w:t>e</w:t>
      </w:r>
      <w:r w:rsidRPr="00BF50AC">
        <w:rPr>
          <w:rFonts w:cstheme="minorHAnsi"/>
          <w:sz w:val="20"/>
          <w:szCs w:val="20"/>
        </w:rPr>
        <w:t>fektívnemu riadeniu migrácie,</w:t>
      </w:r>
    </w:p>
    <w:p w:rsidR="000E684B" w:rsidRPr="00BF50AC" w:rsidRDefault="000E684B" w:rsidP="000E684B">
      <w:pPr>
        <w:pStyle w:val="Odsekzoznamu"/>
        <w:numPr>
          <w:ilvl w:val="0"/>
          <w:numId w:val="5"/>
        </w:numPr>
        <w:spacing w:before="60" w:after="60" w:line="240" w:lineRule="auto"/>
        <w:contextualSpacing w:val="0"/>
        <w:jc w:val="both"/>
        <w:rPr>
          <w:rFonts w:cstheme="minorHAnsi"/>
          <w:sz w:val="20"/>
          <w:szCs w:val="20"/>
        </w:rPr>
      </w:pPr>
      <w:r w:rsidRPr="00BF50AC">
        <w:rPr>
          <w:rFonts w:cstheme="minorHAnsi"/>
          <w:sz w:val="20"/>
          <w:szCs w:val="20"/>
        </w:rPr>
        <w:t>vykonávaniu, posilňovaniu a rozvoju spoločnej azylovej politiky a</w:t>
      </w:r>
    </w:p>
    <w:p w:rsidR="00B42805" w:rsidRPr="00BF50AC" w:rsidRDefault="000E684B" w:rsidP="000E684B">
      <w:pPr>
        <w:pStyle w:val="Odsekzoznamu"/>
        <w:numPr>
          <w:ilvl w:val="0"/>
          <w:numId w:val="5"/>
        </w:numPr>
        <w:spacing w:before="60" w:after="60" w:line="240" w:lineRule="auto"/>
        <w:contextualSpacing w:val="0"/>
        <w:jc w:val="both"/>
        <w:rPr>
          <w:rFonts w:cstheme="minorHAnsi"/>
          <w:sz w:val="20"/>
          <w:szCs w:val="20"/>
        </w:rPr>
      </w:pPr>
      <w:r w:rsidRPr="00BF50AC">
        <w:rPr>
          <w:rFonts w:cstheme="minorHAnsi"/>
          <w:sz w:val="20"/>
          <w:szCs w:val="20"/>
        </w:rPr>
        <w:t>spoločnej prisťahovaleckej politike v súlade s príslušným acquis Únie a medzinárodnými záväzkami Únie a členských štátov vyplývajúcimi z medzinárodných nástrojov, ktorých sú zmluvnými stranami.</w:t>
      </w:r>
    </w:p>
    <w:p w:rsidR="00B42805" w:rsidRDefault="00B42805" w:rsidP="00B42805">
      <w:pPr>
        <w:spacing w:before="60" w:after="60" w:line="240" w:lineRule="auto"/>
        <w:jc w:val="both"/>
        <w:rPr>
          <w:b/>
        </w:rPr>
      </w:pPr>
    </w:p>
    <w:p w:rsidR="000E684B" w:rsidRPr="00BF50AC" w:rsidRDefault="000E684B" w:rsidP="00B42805">
      <w:pPr>
        <w:spacing w:before="60" w:after="60" w:line="240" w:lineRule="auto"/>
        <w:jc w:val="both"/>
        <w:rPr>
          <w:rFonts w:cstheme="minorHAnsi"/>
          <w:sz w:val="20"/>
          <w:szCs w:val="20"/>
        </w:rPr>
      </w:pPr>
      <w:r w:rsidRPr="00BF50AC">
        <w:rPr>
          <w:b/>
          <w:sz w:val="20"/>
          <w:szCs w:val="20"/>
        </w:rPr>
        <w:t>Vo vzťahu k Programu Slovensko boli identifikované nasledovné možné synergie a komplementarity:</w:t>
      </w:r>
    </w:p>
    <w:p w:rsidR="000E684B" w:rsidRPr="00BF50AC" w:rsidRDefault="000E684B" w:rsidP="000E684B">
      <w:pPr>
        <w:pStyle w:val="Odsekzoznamu"/>
        <w:numPr>
          <w:ilvl w:val="0"/>
          <w:numId w:val="5"/>
        </w:numPr>
        <w:spacing w:before="60" w:after="60" w:line="240" w:lineRule="auto"/>
        <w:contextualSpacing w:val="0"/>
        <w:jc w:val="both"/>
        <w:rPr>
          <w:rFonts w:cstheme="minorHAnsi"/>
          <w:sz w:val="20"/>
          <w:szCs w:val="20"/>
        </w:rPr>
      </w:pPr>
      <w:r w:rsidRPr="00BF50AC">
        <w:rPr>
          <w:rFonts w:cstheme="minorHAnsi"/>
          <w:b/>
          <w:sz w:val="20"/>
          <w:szCs w:val="20"/>
        </w:rPr>
        <w:t xml:space="preserve">pre Cieľ politiky 4 Sociálnejšia a inkluzívnejšia Európa, </w:t>
      </w:r>
      <w:r w:rsidRPr="00BF50AC">
        <w:rPr>
          <w:rFonts w:cstheme="minorHAnsi"/>
          <w:sz w:val="20"/>
          <w:szCs w:val="20"/>
        </w:rPr>
        <w:t>na poskytovanie komplexnej podpory v oblasti zvyšovania sociálno-ekonomickej integrácie</w:t>
      </w:r>
      <w:r w:rsidRPr="00BF50AC">
        <w:rPr>
          <w:rFonts w:eastAsia="Times New Roman"/>
          <w:sz w:val="20"/>
          <w:szCs w:val="20"/>
        </w:rPr>
        <w:t xml:space="preserve"> </w:t>
      </w:r>
      <w:r w:rsidRPr="00BF50AC">
        <w:rPr>
          <w:rFonts w:cstheme="minorHAnsi"/>
          <w:sz w:val="20"/>
          <w:szCs w:val="20"/>
        </w:rPr>
        <w:t>príslušníkov tretích krajín, zároveň z ESF+ bude možné doplniť oblasť všetkých opatrení týkajúcich sa strednodobej a dlhodobej integrácie, ktorými sú najmä opatrenia týkajúce sa zamestnanosti a integrácie štátnych príslušníkov tretích krajín na trh práce a ich začleňovania do spoločnosti</w:t>
      </w:r>
    </w:p>
    <w:p w:rsidR="000E684B" w:rsidRPr="00BF50AC" w:rsidRDefault="000E684B" w:rsidP="000E684B">
      <w:pPr>
        <w:spacing w:before="60" w:after="60" w:line="240" w:lineRule="auto"/>
        <w:jc w:val="both"/>
        <w:rPr>
          <w:rFonts w:cstheme="minorHAnsi"/>
          <w:sz w:val="20"/>
          <w:szCs w:val="20"/>
        </w:rPr>
      </w:pPr>
      <w:r w:rsidRPr="00BF50AC">
        <w:rPr>
          <w:rFonts w:cstheme="minorHAnsi"/>
          <w:sz w:val="20"/>
          <w:szCs w:val="20"/>
        </w:rPr>
        <w:t>Fond teda bude podporovať opatrenia šité na mieru potrebám štátnych príslušníkov tretích krajín, ktoré sa vo všeobecnosti implementujú v počiatočných fázach integrácie, ako napríklad zabezpečenie finančnej pomoci na ubytovanie, stravu a základné životné potreby formou finančného príspevku, sociálne, administratívne a  kultúrne poradenstvo, psychologické poradenstvo, kurzy slovenského jazyka ako cudzieho jazyka, príspevok na doplnkovú materiálnu pomoc, doplnková zdravotná pomoc, poskytovanie právnej pomoci a pomoc s prekonávaním jazykovej bariéry.</w:t>
      </w:r>
    </w:p>
    <w:p w:rsidR="000E684B" w:rsidRDefault="000E684B" w:rsidP="000E684B">
      <w:pPr>
        <w:spacing w:before="60" w:after="60" w:line="240" w:lineRule="auto"/>
        <w:jc w:val="both"/>
        <w:rPr>
          <w:rFonts w:cstheme="minorHAnsi"/>
          <w:sz w:val="20"/>
          <w:szCs w:val="20"/>
        </w:rPr>
      </w:pPr>
      <w:r w:rsidRPr="00BF50AC">
        <w:rPr>
          <w:rFonts w:cstheme="minorHAnsi"/>
          <w:b/>
          <w:sz w:val="20"/>
          <w:szCs w:val="20"/>
          <w:u w:val="single"/>
        </w:rPr>
        <w:t>ESF+</w:t>
      </w:r>
      <w:r w:rsidRPr="00BF50AC">
        <w:rPr>
          <w:rFonts w:cstheme="minorHAnsi"/>
          <w:sz w:val="20"/>
          <w:szCs w:val="20"/>
        </w:rPr>
        <w:t xml:space="preserve"> bude dopĺňať </w:t>
      </w:r>
      <w:r w:rsidRPr="00BF50AC">
        <w:rPr>
          <w:rFonts w:cstheme="minorHAnsi"/>
          <w:b/>
          <w:sz w:val="20"/>
          <w:szCs w:val="20"/>
          <w:u w:val="single"/>
        </w:rPr>
        <w:t>Fond pre azyl</w:t>
      </w:r>
      <w:r w:rsidRPr="00BF50AC">
        <w:rPr>
          <w:rFonts w:cstheme="minorHAnsi"/>
          <w:sz w:val="20"/>
          <w:szCs w:val="20"/>
        </w:rPr>
        <w:t xml:space="preserve"> v oblasti všetkých opatrení týkajúcich sa strednodobej a dlhodobej integrácie, ktorými sú najmä opatrenia týkajúce sa zamestnanosti a integrácie štátnych príslušníkov tretích krajín na trh práce a ich začleňovania do spoločnosti.</w:t>
      </w:r>
    </w:p>
    <w:p w:rsidR="00DC793F" w:rsidRPr="00835C35" w:rsidRDefault="00835C35" w:rsidP="00DC793F">
      <w:pPr>
        <w:spacing w:line="240" w:lineRule="auto"/>
        <w:jc w:val="both"/>
        <w:rPr>
          <w:rFonts w:eastAsia="Times New Roman"/>
          <w:sz w:val="20"/>
        </w:rPr>
      </w:pPr>
      <w:r>
        <w:rPr>
          <w:rFonts w:cstheme="minorHAnsi"/>
          <w:b/>
          <w:sz w:val="20"/>
          <w:szCs w:val="20"/>
        </w:rPr>
        <w:t>EFRR</w:t>
      </w:r>
      <w:r w:rsidR="00DC793F" w:rsidRPr="00835C35">
        <w:rPr>
          <w:rFonts w:eastAsia="Times New Roman"/>
          <w:sz w:val="20"/>
        </w:rPr>
        <w:t xml:space="preserve"> v rámci podpory dlhodobých integračných opatrení bude dopĺňať </w:t>
      </w:r>
      <w:r w:rsidR="00DC793F" w:rsidRPr="00835C35">
        <w:rPr>
          <w:rFonts w:eastAsia="Times New Roman"/>
          <w:b/>
          <w:sz w:val="20"/>
        </w:rPr>
        <w:t>Fond pre azyl, migráciu a integráciu</w:t>
      </w:r>
      <w:r w:rsidR="00DC793F" w:rsidRPr="00835C35">
        <w:rPr>
          <w:rFonts w:eastAsia="Times New Roman"/>
          <w:sz w:val="20"/>
        </w:rPr>
        <w:t xml:space="preserve"> prostredníctvom integrovaných opatrení vrátane bývania a sociálnych služieb, ktoré sa však nebudú vzťahovať len na príslušníkov tretích krajín a migrantov, ale aj na marginalizované komunity a znevýhodnené skupiny obyvateľstva</w:t>
      </w:r>
      <w:r w:rsidR="00DC793F" w:rsidRPr="00835C35">
        <w:rPr>
          <w:rFonts w:eastAsia="Times New Roman"/>
          <w:color w:val="FF0000"/>
          <w:sz w:val="20"/>
        </w:rPr>
        <w:t>.</w:t>
      </w:r>
    </w:p>
    <w:p w:rsidR="000E684B" w:rsidRPr="00BF50AC" w:rsidRDefault="000E684B" w:rsidP="000E684B">
      <w:pPr>
        <w:spacing w:before="60" w:after="60" w:line="240" w:lineRule="auto"/>
        <w:jc w:val="both"/>
        <w:rPr>
          <w:rFonts w:cstheme="minorHAnsi"/>
          <w:sz w:val="20"/>
          <w:szCs w:val="20"/>
        </w:rPr>
      </w:pPr>
      <w:r w:rsidRPr="00BF50AC">
        <w:rPr>
          <w:rFonts w:cstheme="minorHAnsi"/>
          <w:sz w:val="20"/>
          <w:szCs w:val="20"/>
        </w:rPr>
        <w:t xml:space="preserve">V nadväznosti na ozbrojený konflikt na Ukrajine bude základnú a nevyhnutnú pomoc občanom Ukrajiny a žiadateľom o udelenie dočasného útočiska poskytovať </w:t>
      </w:r>
      <w:r w:rsidRPr="00BF50AC">
        <w:rPr>
          <w:rFonts w:cstheme="minorHAnsi"/>
          <w:b/>
          <w:sz w:val="20"/>
          <w:szCs w:val="20"/>
          <w:u w:val="single"/>
        </w:rPr>
        <w:t>Fond pre azyl</w:t>
      </w:r>
      <w:r w:rsidRPr="00BF50AC">
        <w:rPr>
          <w:rFonts w:cstheme="minorHAnsi"/>
          <w:sz w:val="20"/>
          <w:szCs w:val="20"/>
        </w:rPr>
        <w:t xml:space="preserve">. Potreby osôb, ktorým bude udelený štatút dočasného útočiska, zamerané na dlhodobú integráciu, vrátane vstupu na trh práce, bude financovať </w:t>
      </w:r>
      <w:r w:rsidRPr="00BF50AC">
        <w:rPr>
          <w:rFonts w:cstheme="minorHAnsi"/>
          <w:b/>
          <w:sz w:val="20"/>
          <w:szCs w:val="20"/>
          <w:u w:val="single"/>
        </w:rPr>
        <w:t>ESF+.</w:t>
      </w:r>
    </w:p>
    <w:p w:rsidR="000E684B" w:rsidRPr="00BF50AC" w:rsidRDefault="000E684B" w:rsidP="000E684B">
      <w:pPr>
        <w:rPr>
          <w:rFonts w:cstheme="minorHAnsi"/>
          <w:sz w:val="20"/>
          <w:szCs w:val="20"/>
        </w:rPr>
      </w:pPr>
      <w:r w:rsidRPr="00BF50AC">
        <w:rPr>
          <w:rFonts w:cstheme="minorHAnsi"/>
          <w:sz w:val="20"/>
          <w:szCs w:val="20"/>
        </w:rPr>
        <w:t>Pre ostatné ciele politiky synergia a komplementarita nebola s Fondom pre azyl, migráciu a integráciu identifikovaná.</w:t>
      </w:r>
    </w:p>
    <w:p w:rsidR="00997268" w:rsidRPr="00BF50AC" w:rsidRDefault="00997268" w:rsidP="00997268">
      <w:pPr>
        <w:jc w:val="both"/>
        <w:rPr>
          <w:b/>
          <w:sz w:val="20"/>
          <w:szCs w:val="20"/>
          <w:u w:val="single"/>
        </w:rPr>
      </w:pPr>
      <w:r w:rsidRPr="00BF50AC">
        <w:rPr>
          <w:b/>
          <w:sz w:val="20"/>
          <w:szCs w:val="20"/>
          <w:u w:val="single"/>
        </w:rPr>
        <w:t>Fond pre integrované riadenie hraníc- Nástroj na riadenie hraníc a víza (BMVI)</w:t>
      </w:r>
    </w:p>
    <w:p w:rsidR="00DA7401" w:rsidRPr="00BF50AC" w:rsidRDefault="00997268" w:rsidP="00997268">
      <w:pPr>
        <w:spacing w:before="60" w:after="60" w:line="240" w:lineRule="auto"/>
        <w:jc w:val="both"/>
        <w:rPr>
          <w:rFonts w:cstheme="minorHAnsi"/>
          <w:sz w:val="20"/>
          <w:szCs w:val="20"/>
        </w:rPr>
      </w:pPr>
      <w:r w:rsidRPr="00BF50AC">
        <w:rPr>
          <w:rFonts w:cstheme="minorHAnsi"/>
          <w:sz w:val="20"/>
          <w:szCs w:val="20"/>
        </w:rPr>
        <w:lastRenderedPageBreak/>
        <w:t>N</w:t>
      </w:r>
      <w:r w:rsidR="000E684B" w:rsidRPr="00BF50AC">
        <w:rPr>
          <w:rFonts w:cstheme="minorHAnsi"/>
          <w:sz w:val="20"/>
          <w:szCs w:val="20"/>
        </w:rPr>
        <w:t xml:space="preserve">ie je komplementárny so žiadnym zo štrukturálnych fondov, iba s Nástrojom finančnej podpory pre vybavenie colnej kontroly. BMVI a Nástroj finančnej podpory tvoria jeden fond – Fond pre integrované riadenia hraníc. Nástroj finančnej podpory pre riadenie hraníc a vízovú politiku nebude financovať činnosti súvisiace s colnou kontrolou, ktorá je spolufinancovaná z nástroja finančnej podpory pre vybavenie colnej kontroly. Akcie vykonávané v rámci BMVI a Nástroja finančnej podpory pre vybavenie colnej kontroly sa budú vzájomne dopĺňať s cieľom posilnenia európskeho integrovaného riadenia hraníc v záujme boja proti nelegálnej migrácii a uľahčeniu cestovania a obchodu. </w:t>
      </w:r>
    </w:p>
    <w:p w:rsidR="00B42805" w:rsidRPr="00BF50AC" w:rsidRDefault="00B42805" w:rsidP="00997268">
      <w:pPr>
        <w:jc w:val="both"/>
        <w:rPr>
          <w:b/>
          <w:sz w:val="20"/>
          <w:szCs w:val="20"/>
          <w:u w:val="single"/>
        </w:rPr>
      </w:pPr>
    </w:p>
    <w:p w:rsidR="002F51E1" w:rsidRPr="00BF50AC" w:rsidRDefault="002F51E1" w:rsidP="00997268">
      <w:pPr>
        <w:jc w:val="both"/>
        <w:rPr>
          <w:b/>
          <w:sz w:val="20"/>
          <w:szCs w:val="20"/>
          <w:u w:val="single"/>
        </w:rPr>
      </w:pPr>
      <w:r w:rsidRPr="00BF50AC">
        <w:rPr>
          <w:b/>
          <w:sz w:val="20"/>
          <w:szCs w:val="20"/>
          <w:u w:val="single"/>
        </w:rPr>
        <w:t>Nástroj susedstva a rozvojovej a medzinárodnej spolupráce (Neighbourhood, Development and International Cooperation Instrument - NDICI)</w:t>
      </w:r>
    </w:p>
    <w:p w:rsidR="00997268" w:rsidRPr="00BF50AC" w:rsidRDefault="00997268" w:rsidP="00EF0988">
      <w:pPr>
        <w:spacing w:before="60" w:after="60" w:line="240" w:lineRule="auto"/>
        <w:jc w:val="both"/>
        <w:rPr>
          <w:rFonts w:cstheme="minorHAnsi"/>
          <w:sz w:val="20"/>
          <w:szCs w:val="20"/>
        </w:rPr>
      </w:pPr>
      <w:r w:rsidRPr="00BF50AC">
        <w:rPr>
          <w:rFonts w:cstheme="minorHAnsi"/>
          <w:sz w:val="20"/>
          <w:szCs w:val="20"/>
        </w:rPr>
        <w:t>NDICI je hlavným finančným nástrojom vonkajšej činnosti EÚ, ktorého primárnym cieľom je upevňovať a presadzovať demokraciu, právny štát a ľudské práva, podporovať organizácie občianskej spoločnosti, ďalšiu stabilitu a mier a riešiť iné globálne výzvy</w:t>
      </w:r>
      <w:r w:rsidR="00EF0988" w:rsidRPr="00BF50AC">
        <w:rPr>
          <w:rFonts w:cstheme="minorHAnsi"/>
          <w:sz w:val="20"/>
          <w:szCs w:val="20"/>
        </w:rPr>
        <w:t>, vrátane migrácie a mobility, avšak na globálnej úrovni.</w:t>
      </w:r>
    </w:p>
    <w:p w:rsidR="00997268" w:rsidRPr="00BF50AC" w:rsidRDefault="00CA2CDD" w:rsidP="00997268">
      <w:pPr>
        <w:spacing w:before="60" w:after="60" w:line="240" w:lineRule="auto"/>
        <w:jc w:val="both"/>
        <w:rPr>
          <w:rFonts w:cstheme="minorHAnsi"/>
          <w:sz w:val="20"/>
          <w:szCs w:val="20"/>
        </w:rPr>
      </w:pPr>
      <w:r w:rsidRPr="00BF50AC">
        <w:rPr>
          <w:rFonts w:cstheme="minorHAnsi"/>
          <w:sz w:val="20"/>
          <w:szCs w:val="20"/>
        </w:rPr>
        <w:t xml:space="preserve">Pre </w:t>
      </w:r>
      <w:r w:rsidR="00997268" w:rsidRPr="00BF50AC">
        <w:rPr>
          <w:rFonts w:cstheme="minorHAnsi"/>
          <w:sz w:val="20"/>
          <w:szCs w:val="20"/>
        </w:rPr>
        <w:t xml:space="preserve">Nástroj susedstva </w:t>
      </w:r>
      <w:r w:rsidRPr="00BF50AC">
        <w:rPr>
          <w:rFonts w:cstheme="minorHAnsi"/>
          <w:sz w:val="20"/>
          <w:szCs w:val="20"/>
        </w:rPr>
        <w:t xml:space="preserve">je </w:t>
      </w:r>
      <w:r w:rsidR="00997268" w:rsidRPr="00BF50AC">
        <w:rPr>
          <w:rFonts w:cstheme="minorHAnsi"/>
          <w:sz w:val="20"/>
          <w:szCs w:val="20"/>
        </w:rPr>
        <w:t xml:space="preserve">možné identifikovať synergiu a komplementaritu pre </w:t>
      </w:r>
      <w:r w:rsidR="00997268" w:rsidRPr="00BF50AC">
        <w:rPr>
          <w:rFonts w:cstheme="minorHAnsi"/>
          <w:b/>
          <w:sz w:val="20"/>
          <w:szCs w:val="20"/>
        </w:rPr>
        <w:t>Cieľ politiky 2</w:t>
      </w:r>
      <w:r w:rsidR="00997268" w:rsidRPr="00BF50AC">
        <w:rPr>
          <w:rFonts w:cstheme="minorHAnsi"/>
          <w:sz w:val="20"/>
          <w:szCs w:val="20"/>
        </w:rPr>
        <w:t xml:space="preserve"> v oblasti ochrany životného prostredia ako zmena klímy, udržateľná energia a synergiu a komplementaritu pre </w:t>
      </w:r>
      <w:r w:rsidR="00997268" w:rsidRPr="00BF50AC">
        <w:rPr>
          <w:rFonts w:cstheme="minorHAnsi"/>
          <w:b/>
          <w:sz w:val="20"/>
          <w:szCs w:val="20"/>
        </w:rPr>
        <w:t>Cieľ politiky 4</w:t>
      </w:r>
      <w:r w:rsidR="00997268" w:rsidRPr="00BF50AC">
        <w:rPr>
          <w:rFonts w:cstheme="minorHAnsi"/>
          <w:sz w:val="20"/>
          <w:szCs w:val="20"/>
        </w:rPr>
        <w:t xml:space="preserve"> v oblasti poskytovania pomoci pre migrantov, na podporu inkluzívneho prístupu k ochrane zdravia, vzdelávania, spoločne s odbornou prípravou, sociálnou ochranou a podporou.</w:t>
      </w:r>
    </w:p>
    <w:p w:rsidR="00997268" w:rsidRPr="00997268" w:rsidRDefault="00997268" w:rsidP="00997268">
      <w:pPr>
        <w:spacing w:before="60" w:after="60" w:line="240" w:lineRule="auto"/>
        <w:jc w:val="both"/>
        <w:rPr>
          <w:rFonts w:cstheme="minorHAnsi"/>
        </w:rPr>
      </w:pPr>
    </w:p>
    <w:p w:rsidR="00A02CE8" w:rsidRDefault="00104EF7" w:rsidP="00236EFC">
      <w:pPr>
        <w:jc w:val="both"/>
        <w:rPr>
          <w:b/>
          <w:sz w:val="24"/>
          <w:szCs w:val="24"/>
        </w:rPr>
      </w:pPr>
      <w:r>
        <w:rPr>
          <w:b/>
          <w:sz w:val="24"/>
          <w:szCs w:val="24"/>
        </w:rPr>
        <w:t xml:space="preserve">Schéma </w:t>
      </w:r>
      <w:r w:rsidRPr="00D217FA">
        <w:rPr>
          <w:b/>
          <w:sz w:val="24"/>
          <w:szCs w:val="24"/>
          <w:u w:val="single"/>
        </w:rPr>
        <w:t>predpokladaných</w:t>
      </w:r>
      <w:r w:rsidRPr="000A35BE">
        <w:rPr>
          <w:b/>
          <w:sz w:val="24"/>
          <w:szCs w:val="24"/>
        </w:rPr>
        <w:t xml:space="preserve"> synergických </w:t>
      </w:r>
      <w:r>
        <w:rPr>
          <w:b/>
          <w:sz w:val="24"/>
          <w:szCs w:val="24"/>
        </w:rPr>
        <w:t xml:space="preserve">a komplementárnych väzieb </w:t>
      </w:r>
      <w:r w:rsidRPr="000A35BE">
        <w:rPr>
          <w:b/>
          <w:sz w:val="24"/>
          <w:szCs w:val="24"/>
        </w:rPr>
        <w:t>Programu Slovensko</w:t>
      </w:r>
      <w:r>
        <w:rPr>
          <w:b/>
          <w:sz w:val="24"/>
          <w:szCs w:val="24"/>
        </w:rPr>
        <w:t xml:space="preserve">, Plánu obnovy a odolnosti </w:t>
      </w:r>
      <w:r w:rsidRPr="000A35BE">
        <w:rPr>
          <w:b/>
          <w:sz w:val="24"/>
          <w:szCs w:val="24"/>
        </w:rPr>
        <w:t xml:space="preserve">a ostatných nástrojov </w:t>
      </w:r>
      <w:r>
        <w:rPr>
          <w:b/>
          <w:sz w:val="24"/>
          <w:szCs w:val="24"/>
        </w:rPr>
        <w:t xml:space="preserve">podpory </w:t>
      </w:r>
      <w:r w:rsidRPr="000A35BE">
        <w:rPr>
          <w:b/>
          <w:sz w:val="24"/>
          <w:szCs w:val="24"/>
        </w:rPr>
        <w:t xml:space="preserve">EÚ </w:t>
      </w:r>
    </w:p>
    <w:p w:rsidR="00006013" w:rsidRDefault="00A02CE8" w:rsidP="0049541E">
      <w:pPr>
        <w:rPr>
          <w:b/>
          <w:sz w:val="24"/>
          <w:szCs w:val="24"/>
        </w:rPr>
      </w:pPr>
      <w:r>
        <w:rPr>
          <w:noProof/>
          <w:lang w:eastAsia="sk-SK"/>
        </w:rPr>
        <w:lastRenderedPageBreak/>
        <mc:AlternateContent>
          <mc:Choice Requires="wpc">
            <w:drawing>
              <wp:inline distT="0" distB="0" distL="0" distR="0" wp14:anchorId="175B63A4" wp14:editId="280A3BF5">
                <wp:extent cx="9154160" cy="5143500"/>
                <wp:effectExtent l="0" t="0" r="0" b="0"/>
                <wp:docPr id="61" name="Kresliace plátno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ysDot"/>
                          <a:round/>
                          <a:headEnd type="none" w="med" len="med"/>
                          <a:tailEnd type="none" w="med" len="med"/>
                        </a:ln>
                      </wpc:whole>
                      <wps:wsp>
                        <wps:cNvPr id="6" name="AutoShape 139"/>
                        <wps:cNvSpPr>
                          <a:spLocks noChangeArrowheads="1"/>
                        </wps:cNvSpPr>
                        <wps:spPr bwMode="auto">
                          <a:xfrm>
                            <a:off x="2209965" y="2561446"/>
                            <a:ext cx="3438526" cy="1971899"/>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100DEF" w:rsidRPr="00CA6D84" w:rsidRDefault="00100DEF" w:rsidP="00A02CE8">
                              <w:pPr>
                                <w:jc w:val="center"/>
                                <w:rPr>
                                  <w:b/>
                                  <w:i/>
                                  <w:iCs/>
                                  <w:color w:val="000000"/>
                                  <w:u w:val="single"/>
                                  <w:lang w:eastAsia="sk-SK"/>
                                </w:rPr>
                              </w:pPr>
                              <w:r w:rsidRPr="00CA6D84">
                                <w:rPr>
                                  <w:b/>
                                  <w:i/>
                                  <w:iCs/>
                                  <w:color w:val="000000"/>
                                  <w:u w:val="single"/>
                                  <w:lang w:eastAsia="sk-SK"/>
                                </w:rPr>
                                <w:t>Ciele politiky súdržnosti 2021-2027</w:t>
                              </w:r>
                            </w:p>
                            <w:p w:rsidR="00100DEF" w:rsidRDefault="00100DEF" w:rsidP="00A02CE8">
                              <w:pPr>
                                <w:jc w:val="center"/>
                                <w:rPr>
                                  <w:b/>
                                  <w:i/>
                                  <w:iCs/>
                                  <w:color w:val="000000"/>
                                  <w:lang w:eastAsia="sk-SK"/>
                                </w:rPr>
                              </w:pPr>
                              <w:r w:rsidRPr="00B2477C">
                                <w:rPr>
                                  <w:b/>
                                  <w:i/>
                                  <w:iCs/>
                                  <w:color w:val="000000"/>
                                  <w:lang w:eastAsia="sk-SK"/>
                                </w:rPr>
                                <w:t>Inteligentnejšia Európa</w:t>
                              </w:r>
                            </w:p>
                            <w:p w:rsidR="00100DEF" w:rsidRDefault="00100DEF" w:rsidP="00A02CE8">
                              <w:pPr>
                                <w:jc w:val="center"/>
                                <w:rPr>
                                  <w:rFonts w:eastAsia="Calibri"/>
                                  <w:b/>
                                  <w:bCs/>
                                  <w:i/>
                                  <w:iCs/>
                                  <w:color w:val="000000"/>
                                </w:rPr>
                              </w:pPr>
                              <w:r w:rsidRPr="00A631FB">
                                <w:rPr>
                                  <w:rFonts w:eastAsia="Calibri"/>
                                  <w:b/>
                                  <w:bCs/>
                                  <w:i/>
                                  <w:iCs/>
                                  <w:color w:val="000000"/>
                                </w:rPr>
                                <w:t>Nízkouhlíková a ekologickejšia Európa</w:t>
                              </w:r>
                            </w:p>
                            <w:p w:rsidR="00100DEF" w:rsidRDefault="00100DEF" w:rsidP="00A02CE8">
                              <w:pPr>
                                <w:jc w:val="center"/>
                                <w:rPr>
                                  <w:b/>
                                  <w:i/>
                                  <w:iCs/>
                                  <w:color w:val="000000"/>
                                  <w:lang w:eastAsia="sk-SK"/>
                                </w:rPr>
                              </w:pPr>
                              <w:r w:rsidRPr="00C435E2">
                                <w:rPr>
                                  <w:b/>
                                  <w:i/>
                                  <w:iCs/>
                                  <w:color w:val="000000"/>
                                  <w:lang w:eastAsia="sk-SK"/>
                                </w:rPr>
                                <w:t>Prepojenejšia Európa</w:t>
                              </w:r>
                            </w:p>
                            <w:p w:rsidR="00100DEF" w:rsidRDefault="00100DEF" w:rsidP="00A02CE8">
                              <w:pPr>
                                <w:jc w:val="center"/>
                                <w:rPr>
                                  <w:b/>
                                  <w:i/>
                                  <w:iCs/>
                                  <w:color w:val="000000"/>
                                  <w:lang w:eastAsia="sk-SK"/>
                                </w:rPr>
                              </w:pPr>
                              <w:r w:rsidRPr="00781330">
                                <w:rPr>
                                  <w:rFonts w:eastAsia="Calibri"/>
                                  <w:b/>
                                  <w:bCs/>
                                  <w:i/>
                                  <w:iCs/>
                                  <w:color w:val="000000"/>
                                </w:rPr>
                                <w:t>Sociálnejšia Európa</w:t>
                              </w:r>
                            </w:p>
                            <w:p w:rsidR="00100DEF" w:rsidRPr="00B2477C" w:rsidRDefault="00100DEF" w:rsidP="00A02CE8">
                              <w:pPr>
                                <w:jc w:val="center"/>
                                <w:rPr>
                                  <w:b/>
                                </w:rPr>
                              </w:pPr>
                              <w:r w:rsidRPr="005217CB">
                                <w:rPr>
                                  <w:rFonts w:eastAsia="Calibri"/>
                                  <w:b/>
                                  <w:bCs/>
                                  <w:i/>
                                  <w:iCs/>
                                  <w:color w:val="000000"/>
                                </w:rPr>
                                <w:t>Európa bližšie k občanom</w:t>
                              </w:r>
                            </w:p>
                            <w:p w:rsidR="00100DEF" w:rsidRPr="00957AC0" w:rsidRDefault="00100DEF" w:rsidP="00A02CE8">
                              <w:pPr>
                                <w:jc w:val="center"/>
                              </w:pPr>
                            </w:p>
                          </w:txbxContent>
                        </wps:txbx>
                        <wps:bodyPr rot="0" vert="horz" wrap="square" lIns="91440" tIns="45720" rIns="91440" bIns="45720" anchor="t" anchorCtr="0" upright="1">
                          <a:noAutofit/>
                        </wps:bodyPr>
                      </wps:wsp>
                      <wps:wsp>
                        <wps:cNvPr id="7" name="AutoShape 194"/>
                        <wps:cNvSpPr>
                          <a:spLocks noChangeArrowheads="1"/>
                        </wps:cNvSpPr>
                        <wps:spPr bwMode="auto">
                          <a:xfrm>
                            <a:off x="2267116" y="8971"/>
                            <a:ext cx="3257552" cy="1933574"/>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100DEF" w:rsidRPr="00CA6D84" w:rsidRDefault="00100DEF" w:rsidP="00A02CE8">
                              <w:pPr>
                                <w:jc w:val="center"/>
                                <w:rPr>
                                  <w:b/>
                                  <w:i/>
                                  <w:iCs/>
                                  <w:color w:val="000000"/>
                                  <w:u w:val="single"/>
                                  <w:lang w:eastAsia="sk-SK"/>
                                </w:rPr>
                              </w:pPr>
                              <w:r w:rsidRPr="00CA6D84">
                                <w:rPr>
                                  <w:b/>
                                  <w:i/>
                                  <w:iCs/>
                                  <w:color w:val="000000"/>
                                  <w:u w:val="single"/>
                                  <w:lang w:eastAsia="sk-SK"/>
                                </w:rPr>
                                <w:t>Plán obnovy a odolnosti SR</w:t>
                              </w:r>
                            </w:p>
                            <w:p w:rsidR="00100DEF" w:rsidRPr="00CA6D84" w:rsidRDefault="00100DEF" w:rsidP="00A02CE8">
                              <w:pPr>
                                <w:jc w:val="center"/>
                                <w:rPr>
                                  <w:b/>
                                  <w:i/>
                                  <w:iCs/>
                                  <w:color w:val="000000"/>
                                  <w:lang w:eastAsia="sk-SK"/>
                                </w:rPr>
                              </w:pPr>
                              <w:r>
                                <w:rPr>
                                  <w:b/>
                                  <w:i/>
                                  <w:iCs/>
                                  <w:color w:val="000000"/>
                                  <w:lang w:eastAsia="sk-SK"/>
                                </w:rPr>
                                <w:t>Z</w:t>
                              </w:r>
                              <w:r w:rsidRPr="00CA6D84">
                                <w:rPr>
                                  <w:b/>
                                  <w:i/>
                                  <w:iCs/>
                                  <w:color w:val="000000"/>
                                  <w:lang w:eastAsia="sk-SK"/>
                                </w:rPr>
                                <w:t>elená ekonomika</w:t>
                              </w:r>
                            </w:p>
                            <w:p w:rsidR="00100DEF" w:rsidRPr="00CA6D84" w:rsidRDefault="00100DEF" w:rsidP="00A02CE8">
                              <w:pPr>
                                <w:jc w:val="center"/>
                                <w:rPr>
                                  <w:b/>
                                  <w:i/>
                                  <w:iCs/>
                                  <w:color w:val="000000"/>
                                  <w:lang w:eastAsia="sk-SK"/>
                                </w:rPr>
                              </w:pPr>
                              <w:r>
                                <w:rPr>
                                  <w:b/>
                                  <w:i/>
                                  <w:iCs/>
                                  <w:color w:val="000000"/>
                                  <w:lang w:eastAsia="sk-SK"/>
                                </w:rPr>
                                <w:t>V</w:t>
                              </w:r>
                              <w:r w:rsidRPr="00CA6D84">
                                <w:rPr>
                                  <w:b/>
                                  <w:i/>
                                  <w:iCs/>
                                  <w:color w:val="000000"/>
                                  <w:lang w:eastAsia="sk-SK"/>
                                </w:rPr>
                                <w:t>zdelávanie</w:t>
                              </w:r>
                            </w:p>
                            <w:p w:rsidR="00100DEF" w:rsidRPr="00CA6D84" w:rsidRDefault="00100DEF" w:rsidP="00A02CE8">
                              <w:pPr>
                                <w:jc w:val="center"/>
                                <w:rPr>
                                  <w:b/>
                                  <w:i/>
                                  <w:iCs/>
                                  <w:color w:val="000000"/>
                                  <w:lang w:eastAsia="sk-SK"/>
                                </w:rPr>
                              </w:pPr>
                              <w:r>
                                <w:rPr>
                                  <w:b/>
                                  <w:i/>
                                  <w:iCs/>
                                  <w:color w:val="000000"/>
                                  <w:lang w:eastAsia="sk-SK"/>
                                </w:rPr>
                                <w:t>V</w:t>
                              </w:r>
                              <w:r w:rsidRPr="00CA6D84">
                                <w:rPr>
                                  <w:b/>
                                  <w:i/>
                                  <w:iCs/>
                                  <w:color w:val="000000"/>
                                  <w:lang w:eastAsia="sk-SK"/>
                                </w:rPr>
                                <w:t>eda, výskum a inovácie</w:t>
                              </w:r>
                            </w:p>
                            <w:p w:rsidR="00100DEF" w:rsidRPr="00CA6D84" w:rsidRDefault="00100DEF" w:rsidP="00A02CE8">
                              <w:pPr>
                                <w:jc w:val="center"/>
                                <w:rPr>
                                  <w:b/>
                                  <w:i/>
                                  <w:iCs/>
                                  <w:color w:val="000000"/>
                                  <w:lang w:eastAsia="sk-SK"/>
                                </w:rPr>
                              </w:pPr>
                              <w:r>
                                <w:rPr>
                                  <w:b/>
                                  <w:i/>
                                  <w:iCs/>
                                  <w:color w:val="000000"/>
                                  <w:lang w:eastAsia="sk-SK"/>
                                </w:rPr>
                                <w:t>Z</w:t>
                              </w:r>
                              <w:r w:rsidRPr="00CA6D84">
                                <w:rPr>
                                  <w:b/>
                                  <w:i/>
                                  <w:iCs/>
                                  <w:color w:val="000000"/>
                                  <w:lang w:eastAsia="sk-SK"/>
                                </w:rPr>
                                <w:t>dravie</w:t>
                              </w:r>
                            </w:p>
                            <w:p w:rsidR="00100DEF" w:rsidRPr="00CA6D84" w:rsidRDefault="00100DEF" w:rsidP="00A02CE8">
                              <w:pPr>
                                <w:jc w:val="center"/>
                                <w:rPr>
                                  <w:b/>
                                  <w:i/>
                                  <w:iCs/>
                                  <w:color w:val="000000"/>
                                  <w:lang w:eastAsia="sk-SK"/>
                                </w:rPr>
                              </w:pPr>
                              <w:r>
                                <w:rPr>
                                  <w:b/>
                                  <w:i/>
                                  <w:iCs/>
                                  <w:color w:val="000000"/>
                                  <w:lang w:eastAsia="sk-SK"/>
                                </w:rPr>
                                <w:t>E</w:t>
                              </w:r>
                              <w:r w:rsidRPr="00CA6D84">
                                <w:rPr>
                                  <w:b/>
                                  <w:i/>
                                  <w:iCs/>
                                  <w:color w:val="000000"/>
                                  <w:lang w:eastAsia="sk-SK"/>
                                </w:rPr>
                                <w:t>fektívna verejná správa a digitalizácia</w:t>
                              </w:r>
                            </w:p>
                            <w:p w:rsidR="00100DEF" w:rsidRPr="00B2477C" w:rsidRDefault="00100DEF" w:rsidP="00A02CE8">
                              <w:pPr>
                                <w:jc w:val="center"/>
                                <w:rPr>
                                  <w:b/>
                                  <w:i/>
                                  <w:iCs/>
                                  <w:color w:val="000000"/>
                                  <w:lang w:eastAsia="sk-SK"/>
                                </w:rPr>
                              </w:pPr>
                            </w:p>
                          </w:txbxContent>
                        </wps:txbx>
                        <wps:bodyPr rot="0" vert="horz" wrap="square" lIns="91440" tIns="45720" rIns="91440" bIns="45720" anchor="t" anchorCtr="0" upright="1">
                          <a:noAutofit/>
                        </wps:bodyPr>
                      </wps:wsp>
                      <wps:wsp>
                        <wps:cNvPr id="8" name="AutoShape 206"/>
                        <wps:cNvSpPr>
                          <a:spLocks noChangeArrowheads="1"/>
                        </wps:cNvSpPr>
                        <wps:spPr bwMode="auto">
                          <a:xfrm rot="16200000">
                            <a:off x="2323145" y="2134168"/>
                            <a:ext cx="466724" cy="273980"/>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206"/>
                        <wps:cNvSpPr>
                          <a:spLocks noChangeArrowheads="1"/>
                        </wps:cNvSpPr>
                        <wps:spPr bwMode="auto">
                          <a:xfrm rot="16200000">
                            <a:off x="3951920" y="2143690"/>
                            <a:ext cx="466724" cy="254930"/>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06"/>
                        <wps:cNvSpPr>
                          <a:spLocks noChangeArrowheads="1"/>
                        </wps:cNvSpPr>
                        <wps:spPr bwMode="auto">
                          <a:xfrm rot="5400000">
                            <a:off x="3132767" y="2134168"/>
                            <a:ext cx="466725" cy="273979"/>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206"/>
                        <wps:cNvSpPr>
                          <a:spLocks noChangeArrowheads="1"/>
                        </wps:cNvSpPr>
                        <wps:spPr bwMode="auto">
                          <a:xfrm rot="5400000">
                            <a:off x="4656767" y="2134168"/>
                            <a:ext cx="466725" cy="273979"/>
                          </a:xfrm>
                          <a:prstGeom prst="rightArrow">
                            <a:avLst>
                              <a:gd name="adj1" fmla="val 50000"/>
                              <a:gd name="adj2" fmla="val 351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40"/>
                        <wps:cNvSpPr>
                          <a:spLocks noChangeArrowheads="1"/>
                        </wps:cNvSpPr>
                        <wps:spPr bwMode="auto">
                          <a:xfrm>
                            <a:off x="294466" y="224183"/>
                            <a:ext cx="1020150" cy="568669"/>
                          </a:xfrm>
                          <a:prstGeom prst="roundRect">
                            <a:avLst>
                              <a:gd name="adj" fmla="val 16667"/>
                            </a:avLst>
                          </a:prstGeom>
                          <a:solidFill>
                            <a:schemeClr val="accent5">
                              <a:lumMod val="60000"/>
                              <a:lumOff val="4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rsidR="00100DEF" w:rsidRPr="003230AE" w:rsidRDefault="00100DEF" w:rsidP="00A02CE8">
                              <w:pPr>
                                <w:spacing w:line="254" w:lineRule="auto"/>
                                <w:jc w:val="center"/>
                                <w:rPr>
                                  <w:rFonts w:eastAsia="Calibri"/>
                                  <w:color w:val="000000"/>
                                  <w:sz w:val="32"/>
                                  <w:szCs w:val="32"/>
                                </w:rPr>
                              </w:pPr>
                              <w:r w:rsidRPr="003230AE">
                                <w:rPr>
                                  <w:rFonts w:eastAsia="Calibri"/>
                                  <w:color w:val="000000"/>
                                  <w:sz w:val="32"/>
                                  <w:szCs w:val="32"/>
                                </w:rPr>
                                <w:t>FST</w:t>
                              </w:r>
                            </w:p>
                          </w:txbxContent>
                        </wps:txbx>
                        <wps:bodyPr rot="0" vert="horz" wrap="square" lIns="91440" tIns="45720" rIns="91440" bIns="45720" anchor="t" anchorCtr="0" upright="1">
                          <a:noAutofit/>
                        </wps:bodyPr>
                      </wps:wsp>
                      <wps:wsp>
                        <wps:cNvPr id="16" name="AutoShape 140"/>
                        <wps:cNvSpPr>
                          <a:spLocks noChangeArrowheads="1"/>
                        </wps:cNvSpPr>
                        <wps:spPr bwMode="auto">
                          <a:xfrm>
                            <a:off x="294465" y="2705158"/>
                            <a:ext cx="1086827" cy="658200"/>
                          </a:xfrm>
                          <a:prstGeom prst="roundRect">
                            <a:avLst>
                              <a:gd name="adj" fmla="val 16667"/>
                            </a:avLst>
                          </a:prstGeom>
                          <a:solidFill>
                            <a:schemeClr val="accent5">
                              <a:lumMod val="60000"/>
                              <a:lumOff val="4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rsidR="00100DEF" w:rsidRPr="004F25C5" w:rsidRDefault="00100DEF" w:rsidP="00A02CE8">
                              <w:pPr>
                                <w:spacing w:line="252" w:lineRule="auto"/>
                                <w:jc w:val="center"/>
                                <w:rPr>
                                  <w:rFonts w:eastAsia="Calibri"/>
                                  <w:color w:val="000000"/>
                                </w:rPr>
                              </w:pPr>
                              <w:r w:rsidRPr="004F25C5">
                                <w:rPr>
                                  <w:rFonts w:eastAsia="Calibri"/>
                                  <w:color w:val="000000"/>
                                </w:rPr>
                                <w:t>Ďalšie programy a nástroje EÚ </w:t>
                              </w:r>
                            </w:p>
                          </w:txbxContent>
                        </wps:txbx>
                        <wps:bodyPr rot="0" vert="horz" wrap="square" lIns="91440" tIns="45720" rIns="91440" bIns="45720" anchor="t" anchorCtr="0" upright="1">
                          <a:noAutofit/>
                        </wps:bodyPr>
                      </wps:wsp>
                      <wps:wsp>
                        <wps:cNvPr id="17" name="AutoShape 140"/>
                        <wps:cNvSpPr>
                          <a:spLocks noChangeArrowheads="1"/>
                        </wps:cNvSpPr>
                        <wps:spPr bwMode="auto">
                          <a:xfrm>
                            <a:off x="294466" y="1877094"/>
                            <a:ext cx="1020150" cy="568325"/>
                          </a:xfrm>
                          <a:prstGeom prst="roundRect">
                            <a:avLst>
                              <a:gd name="adj" fmla="val 16667"/>
                            </a:avLst>
                          </a:prstGeom>
                          <a:solidFill>
                            <a:schemeClr val="accent5">
                              <a:lumMod val="60000"/>
                              <a:lumOff val="4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rsidR="00100DEF" w:rsidRPr="003230AE" w:rsidRDefault="00100DEF" w:rsidP="00A02CE8">
                              <w:pPr>
                                <w:spacing w:after="0" w:line="240" w:lineRule="auto"/>
                                <w:jc w:val="center"/>
                                <w:rPr>
                                  <w:rFonts w:eastAsia="Calibri"/>
                                  <w:color w:val="000000"/>
                                  <w:sz w:val="24"/>
                                  <w:szCs w:val="24"/>
                                </w:rPr>
                              </w:pPr>
                              <w:r>
                                <w:rPr>
                                  <w:rFonts w:eastAsia="Calibri"/>
                                  <w:color w:val="000000"/>
                                  <w:sz w:val="16"/>
                                  <w:szCs w:val="16"/>
                                </w:rPr>
                                <w:t> </w:t>
                              </w:r>
                              <w:r w:rsidRPr="003230AE">
                                <w:rPr>
                                  <w:rFonts w:eastAsia="Calibri"/>
                                  <w:color w:val="000000"/>
                                  <w:sz w:val="24"/>
                                  <w:szCs w:val="24"/>
                                </w:rPr>
                                <w:t>MOD</w:t>
                              </w:r>
                              <w:r>
                                <w:rPr>
                                  <w:rFonts w:eastAsia="Calibri"/>
                                  <w:color w:val="000000"/>
                                  <w:sz w:val="24"/>
                                  <w:szCs w:val="24"/>
                                </w:rPr>
                                <w:t>ER.</w:t>
                              </w:r>
                            </w:p>
                            <w:p w:rsidR="00100DEF" w:rsidRPr="003230AE" w:rsidRDefault="00100DEF" w:rsidP="00A02CE8">
                              <w:pPr>
                                <w:spacing w:after="0" w:line="240" w:lineRule="auto"/>
                                <w:jc w:val="center"/>
                                <w:rPr>
                                  <w:rFonts w:eastAsia="Calibri"/>
                                  <w:color w:val="000000"/>
                                  <w:sz w:val="24"/>
                                  <w:szCs w:val="24"/>
                                </w:rPr>
                              </w:pPr>
                              <w:r w:rsidRPr="003230AE">
                                <w:rPr>
                                  <w:rFonts w:eastAsia="Calibri"/>
                                  <w:color w:val="000000"/>
                                  <w:sz w:val="24"/>
                                  <w:szCs w:val="24"/>
                                </w:rPr>
                                <w:t>FOND</w:t>
                              </w:r>
                            </w:p>
                          </w:txbxContent>
                        </wps:txbx>
                        <wps:bodyPr rot="0" vert="horz" wrap="square" lIns="91440" tIns="45720" rIns="91440" bIns="45720" anchor="t" anchorCtr="0" upright="1">
                          <a:noAutofit/>
                        </wps:bodyPr>
                      </wps:wsp>
                      <wps:wsp>
                        <wps:cNvPr id="18" name="AutoShape 140"/>
                        <wps:cNvSpPr>
                          <a:spLocks noChangeArrowheads="1"/>
                        </wps:cNvSpPr>
                        <wps:spPr bwMode="auto">
                          <a:xfrm>
                            <a:off x="294466" y="1050983"/>
                            <a:ext cx="1020150" cy="568325"/>
                          </a:xfrm>
                          <a:prstGeom prst="roundRect">
                            <a:avLst>
                              <a:gd name="adj" fmla="val 16667"/>
                            </a:avLst>
                          </a:prstGeom>
                          <a:solidFill>
                            <a:schemeClr val="accent5">
                              <a:lumMod val="60000"/>
                              <a:lumOff val="4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rsidR="00100DEF" w:rsidRPr="003230AE" w:rsidRDefault="00100DEF" w:rsidP="00A02CE8">
                              <w:pPr>
                                <w:spacing w:line="252" w:lineRule="auto"/>
                                <w:jc w:val="center"/>
                                <w:rPr>
                                  <w:rFonts w:eastAsia="Calibri"/>
                                  <w:color w:val="000000"/>
                                  <w:sz w:val="24"/>
                                  <w:szCs w:val="24"/>
                                </w:rPr>
                              </w:pPr>
                              <w:r w:rsidRPr="003230AE">
                                <w:rPr>
                                  <w:rFonts w:eastAsia="Calibri"/>
                                  <w:color w:val="000000"/>
                                  <w:sz w:val="24"/>
                                  <w:szCs w:val="24"/>
                                </w:rPr>
                                <w:t>EPFRV </w:t>
                              </w:r>
                            </w:p>
                          </w:txbxContent>
                        </wps:txbx>
                        <wps:bodyPr rot="0" vert="horz" wrap="square" lIns="91440" tIns="45720" rIns="91440" bIns="45720" anchor="t" anchorCtr="0" upright="1">
                          <a:noAutofit/>
                        </wps:bodyPr>
                      </wps:wsp>
                      <wps:wsp>
                        <wps:cNvPr id="19" name="AutoShape 140"/>
                        <wps:cNvSpPr>
                          <a:spLocks noChangeArrowheads="1"/>
                        </wps:cNvSpPr>
                        <wps:spPr bwMode="auto">
                          <a:xfrm>
                            <a:off x="294464" y="4416253"/>
                            <a:ext cx="1086825" cy="568325"/>
                          </a:xfrm>
                          <a:prstGeom prst="roundRect">
                            <a:avLst>
                              <a:gd name="adj" fmla="val 16667"/>
                            </a:avLst>
                          </a:prstGeom>
                          <a:solidFill>
                            <a:schemeClr val="accent5">
                              <a:lumMod val="60000"/>
                              <a:lumOff val="4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rsidR="00100DEF" w:rsidRPr="004F25C5" w:rsidRDefault="00100DEF" w:rsidP="00A02CE8">
                              <w:pPr>
                                <w:spacing w:line="252" w:lineRule="auto"/>
                                <w:jc w:val="center"/>
                                <w:rPr>
                                  <w:rFonts w:eastAsia="Calibri"/>
                                  <w:color w:val="000000"/>
                                  <w:sz w:val="28"/>
                                  <w:szCs w:val="28"/>
                                </w:rPr>
                              </w:pPr>
                              <w:r>
                                <w:rPr>
                                  <w:rFonts w:eastAsia="Calibri"/>
                                  <w:color w:val="000000"/>
                                  <w:sz w:val="16"/>
                                  <w:szCs w:val="16"/>
                                </w:rPr>
                                <w:t> </w:t>
                              </w:r>
                              <w:r w:rsidRPr="004F25C5">
                                <w:rPr>
                                  <w:rFonts w:eastAsia="Calibri"/>
                                  <w:color w:val="000000"/>
                                  <w:sz w:val="28"/>
                                  <w:szCs w:val="28"/>
                                </w:rPr>
                                <w:t>EUSRD</w:t>
                              </w:r>
                            </w:p>
                          </w:txbxContent>
                        </wps:txbx>
                        <wps:bodyPr rot="0" vert="horz" wrap="square" lIns="91440" tIns="45720" rIns="91440" bIns="45720" anchor="t" anchorCtr="0" upright="1">
                          <a:noAutofit/>
                        </wps:bodyPr>
                      </wps:wsp>
                      <wps:wsp>
                        <wps:cNvPr id="20" name="AutoShape 140"/>
                        <wps:cNvSpPr>
                          <a:spLocks noChangeArrowheads="1"/>
                        </wps:cNvSpPr>
                        <wps:spPr bwMode="auto">
                          <a:xfrm>
                            <a:off x="294463" y="3618693"/>
                            <a:ext cx="1086826" cy="568325"/>
                          </a:xfrm>
                          <a:prstGeom prst="roundRect">
                            <a:avLst>
                              <a:gd name="adj" fmla="val 16667"/>
                            </a:avLst>
                          </a:prstGeom>
                          <a:solidFill>
                            <a:schemeClr val="accent5">
                              <a:lumMod val="60000"/>
                              <a:lumOff val="4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rsidR="00100DEF" w:rsidRPr="003230AE" w:rsidRDefault="00100DEF" w:rsidP="00A02CE8">
                              <w:pPr>
                                <w:spacing w:line="252" w:lineRule="auto"/>
                                <w:jc w:val="center"/>
                                <w:rPr>
                                  <w:rFonts w:eastAsia="Calibri"/>
                                  <w:color w:val="000000"/>
                                  <w:sz w:val="24"/>
                                  <w:szCs w:val="24"/>
                                </w:rPr>
                              </w:pPr>
                              <w:r w:rsidRPr="003230AE">
                                <w:rPr>
                                  <w:rFonts w:eastAsia="Calibri"/>
                                  <w:color w:val="000000"/>
                                  <w:sz w:val="24"/>
                                  <w:szCs w:val="24"/>
                                </w:rPr>
                                <w:t>Interregy </w:t>
                              </w:r>
                            </w:p>
                          </w:txbxContent>
                        </wps:txbx>
                        <wps:bodyPr rot="0" vert="horz" wrap="square" lIns="91440" tIns="45720" rIns="91440" bIns="45720" anchor="t" anchorCtr="0" upright="1">
                          <a:noAutofit/>
                        </wps:bodyPr>
                      </wps:wsp>
                      <wps:wsp>
                        <wps:cNvPr id="21" name="Rovná spojovacia šípka 21"/>
                        <wps:cNvCnPr/>
                        <wps:spPr>
                          <a:xfrm>
                            <a:off x="1314616" y="508518"/>
                            <a:ext cx="895349" cy="3038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Rovná spojovacia šípka 24"/>
                        <wps:cNvCnPr/>
                        <wps:spPr>
                          <a:xfrm>
                            <a:off x="1314616" y="1335146"/>
                            <a:ext cx="895346" cy="221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Rovná spojovacia šípka 29"/>
                        <wps:cNvCnPr/>
                        <wps:spPr>
                          <a:xfrm>
                            <a:off x="1314616" y="2161257"/>
                            <a:ext cx="895349" cy="13861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Rovná spojovacia šípka 34"/>
                        <wps:cNvCnPr/>
                        <wps:spPr>
                          <a:xfrm>
                            <a:off x="1381292" y="3034258"/>
                            <a:ext cx="828670" cy="513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Rovná spojovacia šípka 38"/>
                        <wps:cNvCnPr/>
                        <wps:spPr>
                          <a:xfrm flipV="1">
                            <a:off x="1381289" y="3547396"/>
                            <a:ext cx="828673" cy="355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Rovná spojovacia šípka 39"/>
                        <wps:cNvCnPr/>
                        <wps:spPr>
                          <a:xfrm flipV="1">
                            <a:off x="1381289" y="3547396"/>
                            <a:ext cx="828673" cy="1153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wpg:cNvPr id="40" name="Skupina 40"/>
                        <wpg:cNvGrpSpPr/>
                        <wpg:grpSpPr>
                          <a:xfrm>
                            <a:off x="6549453" y="1965971"/>
                            <a:ext cx="1640130" cy="1836739"/>
                            <a:chOff x="0" y="-572506"/>
                            <a:chExt cx="1942279" cy="1836739"/>
                          </a:xfrm>
                        </wpg:grpSpPr>
                        <wps:wsp>
                          <wps:cNvPr id="41" name="Obdĺžnik: zaoblené horné rohy 48"/>
                          <wps:cNvSpPr/>
                          <wps:spPr>
                            <a:xfrm rot="10800000">
                              <a:off x="0" y="0"/>
                              <a:ext cx="1942279" cy="1080794"/>
                            </a:xfrm>
                            <a:prstGeom prst="round2SameRect">
                              <a:avLst>
                                <a:gd name="adj1" fmla="val 16670"/>
                                <a:gd name="adj2" fmla="val 0"/>
                              </a:avLst>
                            </a:prstGeom>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42" name="Obdĺžnik: zaoblené horné rohy 4"/>
                          <wps:cNvSpPr txBox="1"/>
                          <wps:spPr>
                            <a:xfrm>
                              <a:off x="306717" y="-572506"/>
                              <a:ext cx="1409965" cy="1836739"/>
                            </a:xfrm>
                            <a:prstGeom prst="rect">
                              <a:avLst/>
                            </a:prstGeom>
                          </wps:spPr>
                          <wps:style>
                            <a:lnRef idx="0">
                              <a:scrgbClr r="0" g="0" b="0"/>
                            </a:lnRef>
                            <a:fillRef idx="0">
                              <a:scrgbClr r="0" g="0" b="0"/>
                            </a:fillRef>
                            <a:effectRef idx="0">
                              <a:scrgbClr r="0" g="0" b="0"/>
                            </a:effectRef>
                            <a:fontRef idx="minor">
                              <a:schemeClr val="lt1">
                                <a:hueOff val="0"/>
                                <a:satOff val="0"/>
                                <a:lumOff val="0"/>
                                <a:alphaOff val="0"/>
                              </a:schemeClr>
                            </a:fontRef>
                          </wps:style>
                          <wps:txbx>
                            <w:txbxContent>
                              <w:p w:rsidR="00100DEF" w:rsidRDefault="00100DEF" w:rsidP="00A02CE8">
                                <w:pPr>
                                  <w:rPr>
                                    <w:color w:val="833C0B" w:themeColor="accent2" w:themeShade="80"/>
                                  </w:rPr>
                                </w:pPr>
                              </w:p>
                              <w:p w:rsidR="00100DEF" w:rsidRDefault="00100DEF" w:rsidP="00A02CE8">
                                <w:pPr>
                                  <w:rPr>
                                    <w:color w:val="833C0B" w:themeColor="accent2" w:themeShade="80"/>
                                  </w:rPr>
                                </w:pPr>
                              </w:p>
                              <w:p w:rsidR="00100DEF" w:rsidRPr="00A37A18" w:rsidRDefault="00100DEF" w:rsidP="00A02CE8">
                                <w:pPr>
                                  <w:rPr>
                                    <w:color w:val="833C0B" w:themeColor="accent2" w:themeShade="80"/>
                                    <w:sz w:val="24"/>
                                    <w:szCs w:val="24"/>
                                  </w:rPr>
                                </w:pPr>
                                <w:r w:rsidRPr="00A37A18">
                                  <w:rPr>
                                    <w:color w:val="833C0B" w:themeColor="accent2" w:themeShade="80"/>
                                    <w:sz w:val="24"/>
                                    <w:szCs w:val="24"/>
                                  </w:rPr>
                                  <w:t>Informačný monitorovací systém</w:t>
                                </w:r>
                              </w:p>
                            </w:txbxContent>
                          </wps:txbx>
                          <wps:bodyPr spcFirstLastPara="0" vert="horz" wrap="square" lIns="148590" tIns="165100" rIns="99060" bIns="165100" numCol="1" spcCol="1270" anchor="t" anchorCtr="0">
                            <a:noAutofit/>
                          </wps:bodyPr>
                        </wps:wsp>
                      </wpg:wgp>
                      <wpg:wgp>
                        <wpg:cNvPr id="43" name="Skupina 43"/>
                        <wpg:cNvGrpSpPr/>
                        <wpg:grpSpPr>
                          <a:xfrm>
                            <a:off x="6549041" y="360052"/>
                            <a:ext cx="1640131" cy="1554572"/>
                            <a:chOff x="0" y="-242730"/>
                            <a:chExt cx="1909414" cy="1554572"/>
                          </a:xfrm>
                        </wpg:grpSpPr>
                        <wps:wsp>
                          <wps:cNvPr id="44" name="Obdĺžnik: zaoblené horné rohy 51"/>
                          <wps:cNvSpPr/>
                          <wps:spPr>
                            <a:xfrm>
                              <a:off x="0" y="0"/>
                              <a:ext cx="1909414" cy="1020039"/>
                            </a:xfrm>
                            <a:prstGeom prst="round2SameRect">
                              <a:avLst>
                                <a:gd name="adj1" fmla="val 16670"/>
                                <a:gd name="adj2" fmla="val 0"/>
                              </a:avLst>
                            </a:prstGeom>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45" name="Obdĺžnik: zaoblené horné rohy 4"/>
                          <wps:cNvSpPr txBox="1"/>
                          <wps:spPr>
                            <a:xfrm>
                              <a:off x="262504" y="-242730"/>
                              <a:ext cx="1557885" cy="1554572"/>
                            </a:xfrm>
                            <a:prstGeom prst="rect">
                              <a:avLst/>
                            </a:prstGeom>
                          </wps:spPr>
                          <wps:style>
                            <a:lnRef idx="0">
                              <a:scrgbClr r="0" g="0" b="0"/>
                            </a:lnRef>
                            <a:fillRef idx="0">
                              <a:scrgbClr r="0" g="0" b="0"/>
                            </a:fillRef>
                            <a:effectRef idx="0">
                              <a:scrgbClr r="0" g="0" b="0"/>
                            </a:effectRef>
                            <a:fontRef idx="minor">
                              <a:schemeClr val="lt1">
                                <a:hueOff val="0"/>
                                <a:satOff val="0"/>
                                <a:lumOff val="0"/>
                                <a:alphaOff val="0"/>
                              </a:schemeClr>
                            </a:fontRef>
                          </wps:style>
                          <wps:txbx>
                            <w:txbxContent>
                              <w:p w:rsidR="00100DEF" w:rsidRDefault="00100DEF" w:rsidP="00A02CE8">
                                <w:pPr>
                                  <w:rPr>
                                    <w:color w:val="833C0B" w:themeColor="accent2" w:themeShade="80"/>
                                  </w:rPr>
                                </w:pPr>
                              </w:p>
                              <w:p w:rsidR="00100DEF" w:rsidRDefault="00100DEF" w:rsidP="00A02CE8">
                                <w:pPr>
                                  <w:rPr>
                                    <w:color w:val="833C0B" w:themeColor="accent2" w:themeShade="80"/>
                                  </w:rPr>
                                </w:pPr>
                              </w:p>
                              <w:p w:rsidR="00100DEF" w:rsidRPr="00BC2ADE" w:rsidRDefault="00100DEF" w:rsidP="00A02CE8">
                                <w:pPr>
                                  <w:rPr>
                                    <w:color w:val="833C0B" w:themeColor="accent2" w:themeShade="80"/>
                                  </w:rPr>
                                </w:pPr>
                                <w:r w:rsidRPr="00BC2ADE">
                                  <w:rPr>
                                    <w:color w:val="833C0B" w:themeColor="accent2" w:themeShade="80"/>
                                  </w:rPr>
                                  <w:t>IT systém pre POO</w:t>
                                </w:r>
                              </w:p>
                            </w:txbxContent>
                          </wps:txbx>
                          <wps:bodyPr spcFirstLastPara="0" vert="horz" wrap="square" lIns="95250" tIns="158750" rIns="142875" bIns="158750" numCol="1" spcCol="1270" anchor="t" anchorCtr="0">
                            <a:noAutofit/>
                          </wps:bodyPr>
                        </wps:wsp>
                      </wpg:wgp>
                      <wps:wsp>
                        <wps:cNvPr id="46" name="Šípka: kruhová 55"/>
                        <wps:cNvSpPr/>
                        <wps:spPr>
                          <a:xfrm rot="5400000">
                            <a:off x="7548910" y="1399103"/>
                            <a:ext cx="1380512" cy="1276351"/>
                          </a:xfrm>
                          <a:prstGeom prst="circularArrow">
                            <a:avLst>
                              <a:gd name="adj1" fmla="val 12500"/>
                              <a:gd name="adj2" fmla="val 1142322"/>
                              <a:gd name="adj3" fmla="val 20457678"/>
                              <a:gd name="adj4" fmla="val 10800000"/>
                              <a:gd name="adj5" fmla="val 125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3" name="Šípka: kruhová 65"/>
                        <wps:cNvSpPr/>
                        <wps:spPr>
                          <a:xfrm rot="16200000">
                            <a:off x="5706405" y="1362279"/>
                            <a:ext cx="1522482" cy="1371602"/>
                          </a:xfrm>
                          <a:prstGeom prst="circularArrow">
                            <a:avLst>
                              <a:gd name="adj1" fmla="val 12500"/>
                              <a:gd name="adj2" fmla="val 1142322"/>
                              <a:gd name="adj3" fmla="val 20457678"/>
                              <a:gd name="adj4" fmla="val 10800000"/>
                              <a:gd name="adj5" fmla="val 125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54" name="Textové pole 54"/>
                        <wps:cNvSpPr txBox="1"/>
                        <wps:spPr>
                          <a:xfrm>
                            <a:off x="5924551" y="3671071"/>
                            <a:ext cx="2831430" cy="1313507"/>
                          </a:xfrm>
                          <a:prstGeom prst="rect">
                            <a:avLst/>
                          </a:prstGeom>
                          <a:solidFill>
                            <a:schemeClr val="lt1"/>
                          </a:solidFill>
                          <a:ln w="6350">
                            <a:solidFill>
                              <a:prstClr val="black"/>
                            </a:solidFill>
                          </a:ln>
                        </wps:spPr>
                        <wps:txbx>
                          <w:txbxContent>
                            <w:p w:rsidR="00100DEF" w:rsidRPr="00BC2ADE" w:rsidRDefault="00100DEF" w:rsidP="00A02CE8">
                              <w:pPr>
                                <w:jc w:val="center"/>
                                <w:rPr>
                                  <w:b/>
                                  <w:bCs/>
                                </w:rPr>
                              </w:pPr>
                              <w:r w:rsidRPr="00BC2ADE">
                                <w:rPr>
                                  <w:rFonts w:eastAsia="Times New Roman"/>
                                  <w:b/>
                                  <w:bCs/>
                                  <w:sz w:val="20"/>
                                </w:rPr>
                                <w:t>V</w:t>
                              </w:r>
                              <w:r>
                                <w:rPr>
                                  <w:rFonts w:eastAsia="Times New Roman"/>
                                  <w:b/>
                                  <w:bCs/>
                                  <w:sz w:val="20"/>
                                </w:rPr>
                                <w:t> </w:t>
                              </w:r>
                              <w:r w:rsidRPr="00BC2ADE">
                                <w:rPr>
                                  <w:rFonts w:eastAsia="Times New Roman"/>
                                  <w:b/>
                                  <w:bCs/>
                                  <w:sz w:val="20"/>
                                </w:rPr>
                                <w:t>z</w:t>
                              </w:r>
                              <w:r>
                                <w:rPr>
                                  <w:rFonts w:eastAsia="Times New Roman"/>
                                  <w:b/>
                                  <w:bCs/>
                                  <w:sz w:val="20"/>
                                </w:rPr>
                                <w:t>mysle princípov e-kohézie Slovensko v záujme</w:t>
                              </w:r>
                              <w:r w:rsidRPr="00BC2ADE">
                                <w:rPr>
                                  <w:rFonts w:eastAsia="Times New Roman"/>
                                  <w:b/>
                                  <w:bCs/>
                                  <w:sz w:val="20"/>
                                </w:rPr>
                                <w:t xml:space="preserve"> efektívneho zdieľania informácií, koordinácie synergií a komplementarít a</w:t>
                              </w:r>
                              <w:r>
                                <w:rPr>
                                  <w:rFonts w:eastAsia="Times New Roman"/>
                                  <w:b/>
                                  <w:bCs/>
                                  <w:sz w:val="20"/>
                                </w:rPr>
                                <w:t xml:space="preserve"> s cieľom zamedzenia </w:t>
                              </w:r>
                              <w:r w:rsidRPr="00BC2ADE">
                                <w:rPr>
                                  <w:rFonts w:eastAsia="Times New Roman"/>
                                  <w:b/>
                                  <w:bCs/>
                                  <w:sz w:val="20"/>
                                </w:rPr>
                                <w:t>eliminácie duplicít,</w:t>
                              </w:r>
                              <w:r>
                                <w:rPr>
                                  <w:rFonts w:eastAsia="Times New Roman"/>
                                  <w:b/>
                                  <w:bCs/>
                                  <w:sz w:val="20"/>
                                </w:rPr>
                                <w:t xml:space="preserve"> má</w:t>
                              </w:r>
                              <w:r w:rsidRPr="00BC2ADE">
                                <w:rPr>
                                  <w:rFonts w:eastAsia="Times New Roman"/>
                                  <w:b/>
                                  <w:bCs/>
                                  <w:sz w:val="20"/>
                                </w:rPr>
                                <w:t xml:space="preserve"> ambíciu vytvoreni</w:t>
                              </w:r>
                              <w:r>
                                <w:rPr>
                                  <w:rFonts w:eastAsia="Times New Roman"/>
                                  <w:b/>
                                  <w:bCs/>
                                  <w:sz w:val="20"/>
                                </w:rPr>
                                <w:t>a</w:t>
                              </w:r>
                              <w:r w:rsidRPr="00BC2ADE">
                                <w:rPr>
                                  <w:rFonts w:eastAsia="Times New Roman"/>
                                  <w:b/>
                                  <w:bCs/>
                                  <w:sz w:val="20"/>
                                </w:rPr>
                                <w:t xml:space="preserve"> modulu zabezpečujúceho interoperabilitu informačného monitorovacieho systému na nové  PO 2021 – 2027</w:t>
                              </w:r>
                              <w:r>
                                <w:rPr>
                                  <w:rFonts w:eastAsia="Times New Roman"/>
                                  <w:b/>
                                  <w:bCs/>
                                  <w:sz w:val="20"/>
                                </w:rPr>
                                <w:t xml:space="preserve"> a </w:t>
                              </w:r>
                              <w:r w:rsidRPr="00BC2ADE">
                                <w:rPr>
                                  <w:rFonts w:eastAsia="Times New Roman"/>
                                  <w:b/>
                                  <w:bCs/>
                                  <w:sz w:val="20"/>
                                </w:rPr>
                                <w:t>IT</w:t>
                              </w:r>
                              <w:r>
                                <w:rPr>
                                  <w:rFonts w:eastAsia="Times New Roman"/>
                                  <w:b/>
                                  <w:bCs/>
                                  <w:sz w:val="20"/>
                                </w:rPr>
                                <w:t xml:space="preserve"> </w:t>
                              </w:r>
                              <w:r w:rsidRPr="00BC2ADE">
                                <w:rPr>
                                  <w:rFonts w:eastAsia="Times New Roman"/>
                                  <w:b/>
                                  <w:bCs/>
                                  <w:sz w:val="20"/>
                                </w:rPr>
                                <w:t>systému pre POO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Šípka: doprava 15"/>
                        <wps:cNvSpPr/>
                        <wps:spPr>
                          <a:xfrm>
                            <a:off x="5524668" y="818596"/>
                            <a:ext cx="969718"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Šípka: doprava 66"/>
                        <wps:cNvSpPr/>
                        <wps:spPr>
                          <a:xfrm>
                            <a:off x="5648491" y="3141792"/>
                            <a:ext cx="8886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58" name="Skupina 58"/>
                        <wpg:cNvGrpSpPr/>
                        <wpg:grpSpPr>
                          <a:xfrm>
                            <a:off x="6712496" y="1267036"/>
                            <a:ext cx="1423957" cy="1246910"/>
                            <a:chOff x="0" y="-666529"/>
                            <a:chExt cx="2048059" cy="2181598"/>
                          </a:xfrm>
                        </wpg:grpSpPr>
                        <wps:wsp>
                          <wps:cNvPr id="59" name="Obdĺžnik: zaoblené horné rohy 51"/>
                          <wps:cNvSpPr/>
                          <wps:spPr>
                            <a:xfrm>
                              <a:off x="0" y="266481"/>
                              <a:ext cx="1909414" cy="1020039"/>
                            </a:xfrm>
                            <a:prstGeom prst="round2SameRect">
                              <a:avLst>
                                <a:gd name="adj1" fmla="val 16670"/>
                                <a:gd name="adj2" fmla="val 0"/>
                              </a:avLst>
                            </a:prstGeom>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60" name="Obdĺžnik: zaoblené horné rohy 4"/>
                          <wps:cNvSpPr txBox="1"/>
                          <wps:spPr>
                            <a:xfrm>
                              <a:off x="32602" y="-666529"/>
                              <a:ext cx="2015457" cy="2181598"/>
                            </a:xfrm>
                            <a:prstGeom prst="rect">
                              <a:avLst/>
                            </a:prstGeom>
                          </wps:spPr>
                          <wps:style>
                            <a:lnRef idx="0">
                              <a:scrgbClr r="0" g="0" b="0"/>
                            </a:lnRef>
                            <a:fillRef idx="0">
                              <a:scrgbClr r="0" g="0" b="0"/>
                            </a:fillRef>
                            <a:effectRef idx="0">
                              <a:scrgbClr r="0" g="0" b="0"/>
                            </a:effectRef>
                            <a:fontRef idx="minor">
                              <a:schemeClr val="lt1">
                                <a:hueOff val="0"/>
                                <a:satOff val="0"/>
                                <a:lumOff val="0"/>
                                <a:alphaOff val="0"/>
                              </a:schemeClr>
                            </a:fontRef>
                          </wps:style>
                          <wps:txbx>
                            <w:txbxContent>
                              <w:p w:rsidR="00100DEF" w:rsidRDefault="00100DEF" w:rsidP="00A02CE8">
                                <w:pPr>
                                  <w:pStyle w:val="Normlnywebov"/>
                                  <w:spacing w:before="0" w:beforeAutospacing="0" w:after="160" w:afterAutospacing="0" w:line="256" w:lineRule="auto"/>
                                  <w:jc w:val="center"/>
                                </w:pPr>
                              </w:p>
                              <w:p w:rsidR="00100DEF" w:rsidRDefault="00100DEF" w:rsidP="00A02CE8"/>
                              <w:p w:rsidR="00100DEF" w:rsidRPr="00CE5F77" w:rsidRDefault="00100DEF" w:rsidP="00A02CE8">
                                <w:pPr>
                                  <w:pStyle w:val="Normlnywebov"/>
                                  <w:spacing w:before="0" w:beforeAutospacing="0" w:after="160" w:afterAutospacing="0" w:line="256" w:lineRule="auto"/>
                                  <w:jc w:val="center"/>
                                  <w:rPr>
                                    <w:color w:val="833C0B" w:themeColor="accent2" w:themeShade="80"/>
                                  </w:rPr>
                                </w:pPr>
                                <w:r w:rsidRPr="00CE5F77">
                                  <w:rPr>
                                    <w:rFonts w:eastAsia="Calibri"/>
                                    <w:color w:val="833C0B" w:themeColor="accent2" w:themeShade="80"/>
                                    <w:sz w:val="22"/>
                                    <w:szCs w:val="22"/>
                                  </w:rPr>
                                  <w:t>eCohesion</w:t>
                                </w:r>
                              </w:p>
                            </w:txbxContent>
                          </wps:txbx>
                          <wps:bodyPr spcFirstLastPara="0" vert="horz" wrap="square" lIns="95250" tIns="158750" rIns="142875" bIns="158750" numCol="1" spcCol="1270" anchor="t" anchorCtr="0">
                            <a:noAutofit/>
                          </wps:bodyPr>
                        </wps:wsp>
                      </wpg:wgp>
                    </wpc:wpc>
                  </a:graphicData>
                </a:graphic>
              </wp:inline>
            </w:drawing>
          </mc:Choice>
          <mc:Fallback>
            <w:pict>
              <v:group w14:anchorId="175B63A4" id="Kresliace plátno 61" o:spid="_x0000_s1026" editas="canvas" style="width:720.8pt;height:405pt;mso-position-horizontal-relative:char;mso-position-vertical-relative:line" coordsize="91541,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1435;visibility:visible;mso-wrap-style:square">
                  <v:fill o:detectmouseclick="t"/>
                  <v:stroke dashstyle="1 1" joinstyle="round"/>
                  <v:path o:connecttype="none"/>
                </v:shape>
                <v:roundrect id="AutoShape 139" o:spid="_x0000_s1028" style="position:absolute;left:22099;top:25614;width:34385;height:19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" fillcolor="#ffd555 [2167]" strokecolor="#ffc000 [3207]" strokeweight=".5pt">
                  <v:fill color2="#ffcc31 [2615]" rotate="t" colors="0 #ffdd9c;.5 #ffd78e;1 #ffd479" focus="100%" type="gradient">
                    <o:fill v:ext="view" type="gradientUnscaled"/>
                  </v:fill>
                  <v:stroke joinstyle="miter"/>
                  <v:textbox>
                    <w:txbxContent>
                      <w:p w:rsidR="00100DEF" w:rsidRPr="00CA6D84" w:rsidRDefault="00100DEF" w:rsidP="00A02CE8">
                        <w:pPr>
                          <w:jc w:val="center"/>
                          <w:rPr>
                            <w:b/>
                            <w:i/>
                            <w:iCs/>
                            <w:color w:val="000000"/>
                            <w:u w:val="single"/>
                            <w:lang w:eastAsia="sk-SK"/>
                          </w:rPr>
                        </w:pPr>
                        <w:r w:rsidRPr="00CA6D84">
                          <w:rPr>
                            <w:b/>
                            <w:i/>
                            <w:iCs/>
                            <w:color w:val="000000"/>
                            <w:u w:val="single"/>
                            <w:lang w:eastAsia="sk-SK"/>
                          </w:rPr>
                          <w:t>Ciele politiky súdržnosti 2021-2027</w:t>
                        </w:r>
                      </w:p>
                      <w:p w:rsidR="00100DEF" w:rsidRDefault="00100DEF" w:rsidP="00A02CE8">
                        <w:pPr>
                          <w:jc w:val="center"/>
                          <w:rPr>
                            <w:b/>
                            <w:i/>
                            <w:iCs/>
                            <w:color w:val="000000"/>
                            <w:lang w:eastAsia="sk-SK"/>
                          </w:rPr>
                        </w:pPr>
                        <w:r w:rsidRPr="00B2477C">
                          <w:rPr>
                            <w:b/>
                            <w:i/>
                            <w:iCs/>
                            <w:color w:val="000000"/>
                            <w:lang w:eastAsia="sk-SK"/>
                          </w:rPr>
                          <w:t>Inteligentnejšia Európa</w:t>
                        </w:r>
                      </w:p>
                      <w:p w:rsidR="00100DEF" w:rsidRDefault="00100DEF" w:rsidP="00A02CE8">
                        <w:pPr>
                          <w:jc w:val="center"/>
                          <w:rPr>
                            <w:rFonts w:eastAsia="Calibri"/>
                            <w:b/>
                            <w:bCs/>
                            <w:i/>
                            <w:iCs/>
                            <w:color w:val="000000"/>
                          </w:rPr>
                        </w:pPr>
                        <w:proofErr w:type="spellStart"/>
                        <w:r w:rsidRPr="00A631FB">
                          <w:rPr>
                            <w:rFonts w:eastAsia="Calibri"/>
                            <w:b/>
                            <w:bCs/>
                            <w:i/>
                            <w:iCs/>
                            <w:color w:val="000000"/>
                          </w:rPr>
                          <w:t>Nízkouhlíková</w:t>
                        </w:r>
                        <w:proofErr w:type="spellEnd"/>
                        <w:r w:rsidRPr="00A631FB">
                          <w:rPr>
                            <w:rFonts w:eastAsia="Calibri"/>
                            <w:b/>
                            <w:bCs/>
                            <w:i/>
                            <w:iCs/>
                            <w:color w:val="000000"/>
                          </w:rPr>
                          <w:t xml:space="preserve"> a ekologickejšia Európa</w:t>
                        </w:r>
                      </w:p>
                      <w:p w:rsidR="00100DEF" w:rsidRDefault="00100DEF" w:rsidP="00A02CE8">
                        <w:pPr>
                          <w:jc w:val="center"/>
                          <w:rPr>
                            <w:b/>
                            <w:i/>
                            <w:iCs/>
                            <w:color w:val="000000"/>
                            <w:lang w:eastAsia="sk-SK"/>
                          </w:rPr>
                        </w:pPr>
                        <w:r w:rsidRPr="00C435E2">
                          <w:rPr>
                            <w:b/>
                            <w:i/>
                            <w:iCs/>
                            <w:color w:val="000000"/>
                            <w:lang w:eastAsia="sk-SK"/>
                          </w:rPr>
                          <w:t>Prepojenejšia Európa</w:t>
                        </w:r>
                      </w:p>
                      <w:p w:rsidR="00100DEF" w:rsidRDefault="00100DEF" w:rsidP="00A02CE8">
                        <w:pPr>
                          <w:jc w:val="center"/>
                          <w:rPr>
                            <w:b/>
                            <w:i/>
                            <w:iCs/>
                            <w:color w:val="000000"/>
                            <w:lang w:eastAsia="sk-SK"/>
                          </w:rPr>
                        </w:pPr>
                        <w:r w:rsidRPr="00781330">
                          <w:rPr>
                            <w:rFonts w:eastAsia="Calibri"/>
                            <w:b/>
                            <w:bCs/>
                            <w:i/>
                            <w:iCs/>
                            <w:color w:val="000000"/>
                          </w:rPr>
                          <w:t>Sociálnejšia Európa</w:t>
                        </w:r>
                      </w:p>
                      <w:p w:rsidR="00100DEF" w:rsidRPr="00B2477C" w:rsidRDefault="00100DEF" w:rsidP="00A02CE8">
                        <w:pPr>
                          <w:jc w:val="center"/>
                          <w:rPr>
                            <w:b/>
                          </w:rPr>
                        </w:pPr>
                        <w:r w:rsidRPr="005217CB">
                          <w:rPr>
                            <w:rFonts w:eastAsia="Calibri"/>
                            <w:b/>
                            <w:bCs/>
                            <w:i/>
                            <w:iCs/>
                            <w:color w:val="000000"/>
                          </w:rPr>
                          <w:t>Európa bližšie k občanom</w:t>
                        </w:r>
                      </w:p>
                      <w:p w:rsidR="00100DEF" w:rsidRPr="00957AC0" w:rsidRDefault="00100DEF" w:rsidP="00A02CE8">
                        <w:pPr>
                          <w:jc w:val="center"/>
                        </w:pPr>
                      </w:p>
                    </w:txbxContent>
                  </v:textbox>
                </v:roundrect>
                <v:roundrect id="AutoShape 194" o:spid="_x0000_s1029" style="position:absolute;left:22671;top:89;width:32575;height:193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w:txbxContent>
                      <w:p w:rsidR="00100DEF" w:rsidRPr="00CA6D84" w:rsidRDefault="00100DEF" w:rsidP="00A02CE8">
                        <w:pPr>
                          <w:jc w:val="center"/>
                          <w:rPr>
                            <w:b/>
                            <w:i/>
                            <w:iCs/>
                            <w:color w:val="000000"/>
                            <w:u w:val="single"/>
                            <w:lang w:eastAsia="sk-SK"/>
                          </w:rPr>
                        </w:pPr>
                        <w:r w:rsidRPr="00CA6D84">
                          <w:rPr>
                            <w:b/>
                            <w:i/>
                            <w:iCs/>
                            <w:color w:val="000000"/>
                            <w:u w:val="single"/>
                            <w:lang w:eastAsia="sk-SK"/>
                          </w:rPr>
                          <w:t>Plán obnovy a odolnosti SR</w:t>
                        </w:r>
                      </w:p>
                      <w:p w:rsidR="00100DEF" w:rsidRPr="00CA6D84" w:rsidRDefault="00100DEF" w:rsidP="00A02CE8">
                        <w:pPr>
                          <w:jc w:val="center"/>
                          <w:rPr>
                            <w:b/>
                            <w:i/>
                            <w:iCs/>
                            <w:color w:val="000000"/>
                            <w:lang w:eastAsia="sk-SK"/>
                          </w:rPr>
                        </w:pPr>
                        <w:r>
                          <w:rPr>
                            <w:b/>
                            <w:i/>
                            <w:iCs/>
                            <w:color w:val="000000"/>
                            <w:lang w:eastAsia="sk-SK"/>
                          </w:rPr>
                          <w:t>Z</w:t>
                        </w:r>
                        <w:r w:rsidRPr="00CA6D84">
                          <w:rPr>
                            <w:b/>
                            <w:i/>
                            <w:iCs/>
                            <w:color w:val="000000"/>
                            <w:lang w:eastAsia="sk-SK"/>
                          </w:rPr>
                          <w:t>elená ekonomika</w:t>
                        </w:r>
                      </w:p>
                      <w:p w:rsidR="00100DEF" w:rsidRPr="00CA6D84" w:rsidRDefault="00100DEF" w:rsidP="00A02CE8">
                        <w:pPr>
                          <w:jc w:val="center"/>
                          <w:rPr>
                            <w:b/>
                            <w:i/>
                            <w:iCs/>
                            <w:color w:val="000000"/>
                            <w:lang w:eastAsia="sk-SK"/>
                          </w:rPr>
                        </w:pPr>
                        <w:r>
                          <w:rPr>
                            <w:b/>
                            <w:i/>
                            <w:iCs/>
                            <w:color w:val="000000"/>
                            <w:lang w:eastAsia="sk-SK"/>
                          </w:rPr>
                          <w:t>V</w:t>
                        </w:r>
                        <w:r w:rsidRPr="00CA6D84">
                          <w:rPr>
                            <w:b/>
                            <w:i/>
                            <w:iCs/>
                            <w:color w:val="000000"/>
                            <w:lang w:eastAsia="sk-SK"/>
                          </w:rPr>
                          <w:t>zdelávanie</w:t>
                        </w:r>
                      </w:p>
                      <w:p w:rsidR="00100DEF" w:rsidRPr="00CA6D84" w:rsidRDefault="00100DEF" w:rsidP="00A02CE8">
                        <w:pPr>
                          <w:jc w:val="center"/>
                          <w:rPr>
                            <w:b/>
                            <w:i/>
                            <w:iCs/>
                            <w:color w:val="000000"/>
                            <w:lang w:eastAsia="sk-SK"/>
                          </w:rPr>
                        </w:pPr>
                        <w:r>
                          <w:rPr>
                            <w:b/>
                            <w:i/>
                            <w:iCs/>
                            <w:color w:val="000000"/>
                            <w:lang w:eastAsia="sk-SK"/>
                          </w:rPr>
                          <w:t>V</w:t>
                        </w:r>
                        <w:r w:rsidRPr="00CA6D84">
                          <w:rPr>
                            <w:b/>
                            <w:i/>
                            <w:iCs/>
                            <w:color w:val="000000"/>
                            <w:lang w:eastAsia="sk-SK"/>
                          </w:rPr>
                          <w:t>eda, výskum a inovácie</w:t>
                        </w:r>
                      </w:p>
                      <w:p w:rsidR="00100DEF" w:rsidRPr="00CA6D84" w:rsidRDefault="00100DEF" w:rsidP="00A02CE8">
                        <w:pPr>
                          <w:jc w:val="center"/>
                          <w:rPr>
                            <w:b/>
                            <w:i/>
                            <w:iCs/>
                            <w:color w:val="000000"/>
                            <w:lang w:eastAsia="sk-SK"/>
                          </w:rPr>
                        </w:pPr>
                        <w:r>
                          <w:rPr>
                            <w:b/>
                            <w:i/>
                            <w:iCs/>
                            <w:color w:val="000000"/>
                            <w:lang w:eastAsia="sk-SK"/>
                          </w:rPr>
                          <w:t>Z</w:t>
                        </w:r>
                        <w:r w:rsidRPr="00CA6D84">
                          <w:rPr>
                            <w:b/>
                            <w:i/>
                            <w:iCs/>
                            <w:color w:val="000000"/>
                            <w:lang w:eastAsia="sk-SK"/>
                          </w:rPr>
                          <w:t>dravie</w:t>
                        </w:r>
                      </w:p>
                      <w:p w:rsidR="00100DEF" w:rsidRPr="00CA6D84" w:rsidRDefault="00100DEF" w:rsidP="00A02CE8">
                        <w:pPr>
                          <w:jc w:val="center"/>
                          <w:rPr>
                            <w:b/>
                            <w:i/>
                            <w:iCs/>
                            <w:color w:val="000000"/>
                            <w:lang w:eastAsia="sk-SK"/>
                          </w:rPr>
                        </w:pPr>
                        <w:r>
                          <w:rPr>
                            <w:b/>
                            <w:i/>
                            <w:iCs/>
                            <w:color w:val="000000"/>
                            <w:lang w:eastAsia="sk-SK"/>
                          </w:rPr>
                          <w:t>E</w:t>
                        </w:r>
                        <w:r w:rsidRPr="00CA6D84">
                          <w:rPr>
                            <w:b/>
                            <w:i/>
                            <w:iCs/>
                            <w:color w:val="000000"/>
                            <w:lang w:eastAsia="sk-SK"/>
                          </w:rPr>
                          <w:t>fektívna verejná správa a digitalizácia</w:t>
                        </w:r>
                      </w:p>
                      <w:p w:rsidR="00100DEF" w:rsidRPr="00B2477C" w:rsidRDefault="00100DEF" w:rsidP="00A02CE8">
                        <w:pPr>
                          <w:jc w:val="center"/>
                          <w:rPr>
                            <w:b/>
                            <w:i/>
                            <w:iCs/>
                            <w:color w:val="000000"/>
                            <w:lang w:eastAsia="sk-SK"/>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6" o:spid="_x0000_s1030" type="#_x0000_t13" style="position:absolute;left:23231;top:21341;width:4668;height:27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" adj="17142"/>
                <v:shape id="AutoShape 206" o:spid="_x0000_s1031" type="#_x0000_t13" style="position:absolute;left:39519;top:21436;width:4668;height:25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" adj="17452"/>
                <v:shape id="AutoShape 206" o:spid="_x0000_s1032" type="#_x0000_t13" style="position:absolute;left:31327;top:21341;width:4668;height:27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" adj="17142"/>
                <v:shape id="AutoShape 206" o:spid="_x0000_s1033" type="#_x0000_t13" style="position:absolute;left:46567;top:21341;width:4668;height:27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" adj="17142"/>
                <v:roundrect id="AutoShape 140" o:spid="_x0000_s1034" style="position:absolute;left:2944;top:2241;width:10202;height:56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" fillcolor="#8eaadb [1944]" strokecolor="#70ad47 [3209]" strokeweight=".5pt">
                  <v:stroke joinstyle="miter"/>
                  <v:textbox>
                    <w:txbxContent>
                      <w:p w:rsidR="00100DEF" w:rsidRPr="003230AE" w:rsidRDefault="00100DEF" w:rsidP="00A02CE8">
                        <w:pPr>
                          <w:spacing w:line="254" w:lineRule="auto"/>
                          <w:jc w:val="center"/>
                          <w:rPr>
                            <w:rFonts w:eastAsia="Calibri"/>
                            <w:color w:val="000000"/>
                            <w:sz w:val="32"/>
                            <w:szCs w:val="32"/>
                          </w:rPr>
                        </w:pPr>
                        <w:r w:rsidRPr="003230AE">
                          <w:rPr>
                            <w:rFonts w:eastAsia="Calibri"/>
                            <w:color w:val="000000"/>
                            <w:sz w:val="32"/>
                            <w:szCs w:val="32"/>
                          </w:rPr>
                          <w:t>FST</w:t>
                        </w:r>
                      </w:p>
                    </w:txbxContent>
                  </v:textbox>
                </v:roundrect>
                <v:roundrect id="AutoShape 140" o:spid="_x0000_s1035" style="position:absolute;left:2944;top:27051;width:10868;height:65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" fillcolor="#8eaadb [1944]" strokecolor="#70ad47 [3209]" strokeweight=".5pt">
                  <v:stroke joinstyle="miter"/>
                  <v:textbox>
                    <w:txbxContent>
                      <w:p w:rsidR="00100DEF" w:rsidRPr="004F25C5" w:rsidRDefault="00100DEF" w:rsidP="00A02CE8">
                        <w:pPr>
                          <w:spacing w:line="252" w:lineRule="auto"/>
                          <w:jc w:val="center"/>
                          <w:rPr>
                            <w:rFonts w:eastAsia="Calibri"/>
                            <w:color w:val="000000"/>
                          </w:rPr>
                        </w:pPr>
                        <w:r w:rsidRPr="004F25C5">
                          <w:rPr>
                            <w:rFonts w:eastAsia="Calibri"/>
                            <w:color w:val="000000"/>
                          </w:rPr>
                          <w:t>Ďalšie programy a nástroje EÚ </w:t>
                        </w:r>
                      </w:p>
                    </w:txbxContent>
                  </v:textbox>
                </v:roundrect>
                <v:roundrect id="AutoShape 140" o:spid="_x0000_s1036" style="position:absolute;left:2944;top:18770;width:10202;height:56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" fillcolor="#8eaadb [1944]" strokecolor="#70ad47 [3209]" strokeweight=".5pt">
                  <v:stroke joinstyle="miter"/>
                  <v:textbox>
                    <w:txbxContent>
                      <w:p w:rsidR="00100DEF" w:rsidRPr="003230AE" w:rsidRDefault="00100DEF" w:rsidP="00A02CE8">
                        <w:pPr>
                          <w:spacing w:after="0" w:line="240" w:lineRule="auto"/>
                          <w:jc w:val="center"/>
                          <w:rPr>
                            <w:rFonts w:eastAsia="Calibri"/>
                            <w:color w:val="000000"/>
                            <w:sz w:val="24"/>
                            <w:szCs w:val="24"/>
                          </w:rPr>
                        </w:pPr>
                        <w:r>
                          <w:rPr>
                            <w:rFonts w:eastAsia="Calibri"/>
                            <w:color w:val="000000"/>
                            <w:sz w:val="16"/>
                            <w:szCs w:val="16"/>
                          </w:rPr>
                          <w:t> </w:t>
                        </w:r>
                        <w:r w:rsidRPr="003230AE">
                          <w:rPr>
                            <w:rFonts w:eastAsia="Calibri"/>
                            <w:color w:val="000000"/>
                            <w:sz w:val="24"/>
                            <w:szCs w:val="24"/>
                          </w:rPr>
                          <w:t>MOD</w:t>
                        </w:r>
                        <w:r>
                          <w:rPr>
                            <w:rFonts w:eastAsia="Calibri"/>
                            <w:color w:val="000000"/>
                            <w:sz w:val="24"/>
                            <w:szCs w:val="24"/>
                          </w:rPr>
                          <w:t>ER.</w:t>
                        </w:r>
                      </w:p>
                      <w:p w:rsidR="00100DEF" w:rsidRPr="003230AE" w:rsidRDefault="00100DEF" w:rsidP="00A02CE8">
                        <w:pPr>
                          <w:spacing w:after="0" w:line="240" w:lineRule="auto"/>
                          <w:jc w:val="center"/>
                          <w:rPr>
                            <w:rFonts w:eastAsia="Calibri"/>
                            <w:color w:val="000000"/>
                            <w:sz w:val="24"/>
                            <w:szCs w:val="24"/>
                          </w:rPr>
                        </w:pPr>
                        <w:r w:rsidRPr="003230AE">
                          <w:rPr>
                            <w:rFonts w:eastAsia="Calibri"/>
                            <w:color w:val="000000"/>
                            <w:sz w:val="24"/>
                            <w:szCs w:val="24"/>
                          </w:rPr>
                          <w:t>FOND</w:t>
                        </w:r>
                      </w:p>
                    </w:txbxContent>
                  </v:textbox>
                </v:roundrect>
                <v:roundrect id="AutoShape 140" o:spid="_x0000_s1037" style="position:absolute;left:2944;top:10509;width:10202;height:56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" fillcolor="#8eaadb [1944]" strokecolor="#70ad47 [3209]" strokeweight=".5pt">
                  <v:stroke joinstyle="miter"/>
                  <v:textbox>
                    <w:txbxContent>
                      <w:p w:rsidR="00100DEF" w:rsidRPr="003230AE" w:rsidRDefault="00100DEF" w:rsidP="00A02CE8">
                        <w:pPr>
                          <w:spacing w:line="252" w:lineRule="auto"/>
                          <w:jc w:val="center"/>
                          <w:rPr>
                            <w:rFonts w:eastAsia="Calibri"/>
                            <w:color w:val="000000"/>
                            <w:sz w:val="24"/>
                            <w:szCs w:val="24"/>
                          </w:rPr>
                        </w:pPr>
                        <w:r w:rsidRPr="003230AE">
                          <w:rPr>
                            <w:rFonts w:eastAsia="Calibri"/>
                            <w:color w:val="000000"/>
                            <w:sz w:val="24"/>
                            <w:szCs w:val="24"/>
                          </w:rPr>
                          <w:t>EPFRV </w:t>
                        </w:r>
                      </w:p>
                    </w:txbxContent>
                  </v:textbox>
                </v:roundrect>
                <v:roundrect id="AutoShape 140" o:spid="_x0000_s1038" style="position:absolute;left:2944;top:44162;width:10868;height:56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" fillcolor="#8eaadb [1944]" strokecolor="#70ad47 [3209]" strokeweight=".5pt">
                  <v:stroke joinstyle="miter"/>
                  <v:textbox>
                    <w:txbxContent>
                      <w:p w:rsidR="00100DEF" w:rsidRPr="004F25C5" w:rsidRDefault="00100DEF" w:rsidP="00A02CE8">
                        <w:pPr>
                          <w:spacing w:line="252" w:lineRule="auto"/>
                          <w:jc w:val="center"/>
                          <w:rPr>
                            <w:rFonts w:eastAsia="Calibri"/>
                            <w:color w:val="000000"/>
                            <w:sz w:val="28"/>
                            <w:szCs w:val="28"/>
                          </w:rPr>
                        </w:pPr>
                        <w:r>
                          <w:rPr>
                            <w:rFonts w:eastAsia="Calibri"/>
                            <w:color w:val="000000"/>
                            <w:sz w:val="16"/>
                            <w:szCs w:val="16"/>
                          </w:rPr>
                          <w:t> </w:t>
                        </w:r>
                        <w:r w:rsidRPr="004F25C5">
                          <w:rPr>
                            <w:rFonts w:eastAsia="Calibri"/>
                            <w:color w:val="000000"/>
                            <w:sz w:val="28"/>
                            <w:szCs w:val="28"/>
                          </w:rPr>
                          <w:t>EUSRD</w:t>
                        </w:r>
                      </w:p>
                    </w:txbxContent>
                  </v:textbox>
                </v:roundrect>
                <v:roundrect id="AutoShape 140" o:spid="_x0000_s1039" style="position:absolute;left:2944;top:36186;width:10868;height:56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" fillcolor="#8eaadb [1944]" strokecolor="#70ad47 [3209]" strokeweight=".5pt">
                  <v:stroke joinstyle="miter"/>
                  <v:textbox>
                    <w:txbxContent>
                      <w:p w:rsidR="00100DEF" w:rsidRPr="003230AE" w:rsidRDefault="00100DEF" w:rsidP="00A02CE8">
                        <w:pPr>
                          <w:spacing w:line="252" w:lineRule="auto"/>
                          <w:jc w:val="center"/>
                          <w:rPr>
                            <w:rFonts w:eastAsia="Calibri"/>
                            <w:color w:val="000000"/>
                            <w:sz w:val="24"/>
                            <w:szCs w:val="24"/>
                          </w:rPr>
                        </w:pPr>
                        <w:proofErr w:type="spellStart"/>
                        <w:r w:rsidRPr="003230AE">
                          <w:rPr>
                            <w:rFonts w:eastAsia="Calibri"/>
                            <w:color w:val="000000"/>
                            <w:sz w:val="24"/>
                            <w:szCs w:val="24"/>
                          </w:rPr>
                          <w:t>Interregy</w:t>
                        </w:r>
                        <w:proofErr w:type="spellEnd"/>
                        <w:r w:rsidRPr="003230AE">
                          <w:rPr>
                            <w:rFonts w:eastAsia="Calibri"/>
                            <w:color w:val="000000"/>
                            <w:sz w:val="24"/>
                            <w:szCs w:val="24"/>
                          </w:rPr>
                          <w:t> </w:t>
                        </w:r>
                      </w:p>
                    </w:txbxContent>
                  </v:textbox>
                </v:roundrect>
                <v:shapetype id="_x0000_t32" coordsize="21600,21600" o:spt="32" o:oned="t" path="m,l21600,21600e" filled="f">
                  <v:path arrowok="t" fillok="f" o:connecttype="none"/>
                  <o:lock v:ext="edit" shapetype="t"/>
                </v:shapetype>
                <v:shape id="Rovná spojovacia šípka 21" o:spid="_x0000_s1040" type="#_x0000_t32" style="position:absolute;left:13146;top:5085;width:8953;height:30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5b9bd5 [3204]" strokeweight=".5pt">
                  <v:stroke endarrow="block" joinstyle="miter"/>
                </v:shape>
                <v:shape id="Rovná spojovacia šípka 24" o:spid="_x0000_s1041" type="#_x0000_t32" style="position:absolute;left:13146;top:13351;width:8953;height:22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5b9bd5 [3204]" strokeweight=".5pt">
                  <v:stroke endarrow="block" joinstyle="miter"/>
                </v:shape>
                <v:shape id="Rovná spojovacia šípka 29" o:spid="_x0000_s1042" type="#_x0000_t32" style="position:absolute;left:13146;top:21612;width:8953;height:13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5b9bd5 [3204]" strokeweight=".5pt">
                  <v:stroke endarrow="block" joinstyle="miter"/>
                </v:shape>
                <v:shape id="Rovná spojovacia šípka 34" o:spid="_x0000_s1043" type="#_x0000_t32" style="position:absolute;left:13812;top:30342;width:8287;height:5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" strokecolor="#5b9bd5 [3204]" strokeweight=".5pt">
                  <v:stroke endarrow="block" joinstyle="miter"/>
                </v:shape>
                <v:shape id="Rovná spojovacia šípka 38" o:spid="_x0000_s1044" type="#_x0000_t32" style="position:absolute;left:13812;top:35473;width:8287;height:3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shape id="Rovná spojovacia šípka 39" o:spid="_x0000_s1045" type="#_x0000_t32" style="position:absolute;left:13812;top:35473;width:8287;height:115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" strokecolor="#5b9bd5 [3204]" strokeweight=".5pt">
                  <v:stroke endarrow="block" joinstyle="miter"/>
                </v:shape>
                <v:group id="Skupina 40" o:spid="_x0000_s1046" style="position:absolute;left:65494;top:19659;width:16401;height:18368" coordorigin=",-5725" coordsize="19422,1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Obdĺžnik: zaoblené horné rohy 48" o:spid="_x0000_s1047" style="position:absolute;width:19422;height:10807;rotation:180;visibility:visible;mso-wrap-style:square;v-text-anchor:top" coordsize="1942279,108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" path="m180168,l1762111,v99504,,180168,80664,180168,180168l1942279,1080794r,l,1080794r,l,180168c,80664,80664,,180168,xe" fillcolor="#adccea [1620]" strokecolor="white [3201]" strokeweight="1pt">
                    <v:stroke joinstyle="miter"/>
                    <v:path arrowok="t" o:connecttype="custom" o:connectlocs="180168,0;1762111,0;1942279,180168;1942279,1080794;1942279,1080794;0,1080794;0,1080794;0,180168;180168,0" o:connectangles="0,0,0,0,0,0,0,0,0"/>
                  </v:shape>
                  <v:shapetype id="_x0000_t202" coordsize="21600,21600" o:spt="202" path="m,l,21600r21600,l21600,xe">
                    <v:stroke joinstyle="miter"/>
                    <v:path gradientshapeok="t" o:connecttype="rect"/>
                  </v:shapetype>
                  <v:shape id="Obdĺžnik: zaoblené horné rohy 4" o:spid="_x0000_s1048" type="#_x0000_t202" style="position:absolute;left:3067;top:-5725;width:14099;height:18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" filled="f" stroked="f">
                    <v:textbox inset="11.7pt,13pt,7.8pt,13pt">
                      <w:txbxContent>
                        <w:p w:rsidR="00100DEF" w:rsidRDefault="00100DEF" w:rsidP="00A02CE8">
                          <w:pPr>
                            <w:rPr>
                              <w:color w:val="833C0B" w:themeColor="accent2" w:themeShade="80"/>
                            </w:rPr>
                          </w:pPr>
                        </w:p>
                        <w:p w:rsidR="00100DEF" w:rsidRDefault="00100DEF" w:rsidP="00A02CE8">
                          <w:pPr>
                            <w:rPr>
                              <w:color w:val="833C0B" w:themeColor="accent2" w:themeShade="80"/>
                            </w:rPr>
                          </w:pPr>
                        </w:p>
                        <w:p w:rsidR="00100DEF" w:rsidRPr="00A37A18" w:rsidRDefault="00100DEF" w:rsidP="00A02CE8">
                          <w:pPr>
                            <w:rPr>
                              <w:color w:val="833C0B" w:themeColor="accent2" w:themeShade="80"/>
                              <w:sz w:val="24"/>
                              <w:szCs w:val="24"/>
                            </w:rPr>
                          </w:pPr>
                          <w:r w:rsidRPr="00A37A18">
                            <w:rPr>
                              <w:color w:val="833C0B" w:themeColor="accent2" w:themeShade="80"/>
                              <w:sz w:val="24"/>
                              <w:szCs w:val="24"/>
                            </w:rPr>
                            <w:t>Informačný monitorovací systém</w:t>
                          </w:r>
                        </w:p>
                      </w:txbxContent>
                    </v:textbox>
                  </v:shape>
                </v:group>
                <v:group id="Skupina 43" o:spid="_x0000_s1049" style="position:absolute;left:65490;top:3600;width:16401;height:15546" coordorigin=",-2427" coordsize="19094,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Obdĺžnik: zaoblené horné rohy 51" o:spid="_x0000_s1050" style="position:absolute;width:19094;height:10200;visibility:visible;mso-wrap-style:square;v-text-anchor:top" coordsize="1909414,102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" path="m170041,l1739373,v93911,,170041,76130,170041,170041l1909414,1020039r,l,1020039r,l,170041c,76130,76130,,170041,xe" fillcolor="#adccea [1620]" strokecolor="white [3201]" strokeweight="1pt">
                    <v:stroke joinstyle="miter"/>
                    <v:path arrowok="t" o:connecttype="custom" o:connectlocs="170041,0;1739373,0;1909414,170041;1909414,1020039;1909414,1020039;0,1020039;0,1020039;0,170041;170041,0" o:connectangles="0,0,0,0,0,0,0,0,0"/>
                  </v:shape>
                  <v:shape id="Obdĺžnik: zaoblené horné rohy 4" o:spid="_x0000_s1051" type="#_x0000_t202" style="position:absolute;left:2625;top:-2427;width:15578;height:15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" filled="f" stroked="f">
                    <v:textbox inset="7.5pt,12.5pt,11.25pt,12.5pt">
                      <w:txbxContent>
                        <w:p w:rsidR="00100DEF" w:rsidRDefault="00100DEF" w:rsidP="00A02CE8">
                          <w:pPr>
                            <w:rPr>
                              <w:color w:val="833C0B" w:themeColor="accent2" w:themeShade="80"/>
                            </w:rPr>
                          </w:pPr>
                        </w:p>
                        <w:p w:rsidR="00100DEF" w:rsidRDefault="00100DEF" w:rsidP="00A02CE8">
                          <w:pPr>
                            <w:rPr>
                              <w:color w:val="833C0B" w:themeColor="accent2" w:themeShade="80"/>
                            </w:rPr>
                          </w:pPr>
                        </w:p>
                        <w:p w:rsidR="00100DEF" w:rsidRPr="00BC2ADE" w:rsidRDefault="00100DEF" w:rsidP="00A02CE8">
                          <w:pPr>
                            <w:rPr>
                              <w:color w:val="833C0B" w:themeColor="accent2" w:themeShade="80"/>
                            </w:rPr>
                          </w:pPr>
                          <w:r w:rsidRPr="00BC2ADE">
                            <w:rPr>
                              <w:color w:val="833C0B" w:themeColor="accent2" w:themeShade="80"/>
                            </w:rPr>
                            <w:t>IT systém pre POO</w:t>
                          </w:r>
                        </w:p>
                      </w:txbxContent>
                    </v:textbox>
                  </v:shape>
                </v:group>
                <v:shape id="Šípka: kruhová 55" o:spid="_x0000_s1052" style="position:absolute;left:75488;top:13991;width:13805;height:12764;rotation:90;visibility:visible;mso-wrap-style:square;v-text-anchor:top" coordsize="1380512,127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" path="m79772,638176v,-280191,227008,-516999,530703,-553615c902891,49305,1181049,210314,1271394,467130r74072,-1l1220968,638175,1026379,467129r71248,c1010468,304727,811256,213967,611162,245498,396014,279402,239316,444878,239316,638175r-159544,1xe" fillcolor="#5b9bd5 [3204]" strokecolor="white [3201]" strokeweight="1pt">
                  <v:stroke joinstyle="miter"/>
                  <v:path arrowok="t" o:connecttype="custom" o:connectlocs="79772,638176;610475,84561;1271394,467130;1345466,467129;1220968,638175;1026379,467129;1097627,467129;611162,245498;239316,638175;79772,638176" o:connectangles="0,0,0,0,0,0,0,0,0,0"/>
                </v:shape>
                <v:shape id="Šípka: kruhová 65" o:spid="_x0000_s1053" style="position:absolute;left:57063;top:13623;width:15225;height:13716;rotation:-90;visibility:visible;mso-wrap-style:square;v-text-anchor:top" coordsize="1522482,137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" path="m85725,685801v,-301870,252440,-556750,589495,-595191c995670,54063,1300392,224198,1402284,496551r78824,l1351032,685801,1138208,496551r75305,c1114961,326251,896430,231345,676406,263289,434257,298445,257175,476913,257175,685801r-171450,xe" fillcolor="#5b9bd5 [3204]" strokecolor="white [3201]" strokeweight="1pt">
                  <v:stroke joinstyle="miter"/>
                  <v:path arrowok="t" o:connecttype="custom" o:connectlocs="85725,685801;675220,90610;1402284,496551;1481108,496551;1351032,685801;1138208,496551;1213513,496551;676406,263289;257175,685801;85725,685801" o:connectangles="0,0,0,0,0,0,0,0,0,0"/>
                </v:shape>
                <v:shape id="Textové pole 54" o:spid="_x0000_s1054" type="#_x0000_t202" style="position:absolute;left:59245;top:36710;width:28314;height:1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rsidR="00100DEF" w:rsidRPr="00BC2ADE" w:rsidRDefault="00100DEF" w:rsidP="00A02CE8">
                        <w:pPr>
                          <w:jc w:val="center"/>
                          <w:rPr>
                            <w:b/>
                            <w:bCs/>
                          </w:rPr>
                        </w:pPr>
                        <w:r w:rsidRPr="00BC2ADE">
                          <w:rPr>
                            <w:rFonts w:eastAsia="Times New Roman"/>
                            <w:b/>
                            <w:bCs/>
                            <w:sz w:val="20"/>
                          </w:rPr>
                          <w:t>V</w:t>
                        </w:r>
                        <w:r>
                          <w:rPr>
                            <w:rFonts w:eastAsia="Times New Roman"/>
                            <w:b/>
                            <w:bCs/>
                            <w:sz w:val="20"/>
                          </w:rPr>
                          <w:t> </w:t>
                        </w:r>
                        <w:r w:rsidRPr="00BC2ADE">
                          <w:rPr>
                            <w:rFonts w:eastAsia="Times New Roman"/>
                            <w:b/>
                            <w:bCs/>
                            <w:sz w:val="20"/>
                          </w:rPr>
                          <w:t>z</w:t>
                        </w:r>
                        <w:r>
                          <w:rPr>
                            <w:rFonts w:eastAsia="Times New Roman"/>
                            <w:b/>
                            <w:bCs/>
                            <w:sz w:val="20"/>
                          </w:rPr>
                          <w:t>mysle princípov e-kohézie Slovensko v záujme</w:t>
                        </w:r>
                        <w:r w:rsidRPr="00BC2ADE">
                          <w:rPr>
                            <w:rFonts w:eastAsia="Times New Roman"/>
                            <w:b/>
                            <w:bCs/>
                            <w:sz w:val="20"/>
                          </w:rPr>
                          <w:t xml:space="preserve"> efektívneho zdieľania informácií, koordinácie synergií a </w:t>
                        </w:r>
                        <w:proofErr w:type="spellStart"/>
                        <w:r w:rsidRPr="00BC2ADE">
                          <w:rPr>
                            <w:rFonts w:eastAsia="Times New Roman"/>
                            <w:b/>
                            <w:bCs/>
                            <w:sz w:val="20"/>
                          </w:rPr>
                          <w:t>komplementarít</w:t>
                        </w:r>
                        <w:proofErr w:type="spellEnd"/>
                        <w:r w:rsidRPr="00BC2ADE">
                          <w:rPr>
                            <w:rFonts w:eastAsia="Times New Roman"/>
                            <w:b/>
                            <w:bCs/>
                            <w:sz w:val="20"/>
                          </w:rPr>
                          <w:t xml:space="preserve"> a</w:t>
                        </w:r>
                        <w:r>
                          <w:rPr>
                            <w:rFonts w:eastAsia="Times New Roman"/>
                            <w:b/>
                            <w:bCs/>
                            <w:sz w:val="20"/>
                          </w:rPr>
                          <w:t xml:space="preserve"> s cieľom zamedzenia </w:t>
                        </w:r>
                        <w:r w:rsidRPr="00BC2ADE">
                          <w:rPr>
                            <w:rFonts w:eastAsia="Times New Roman"/>
                            <w:b/>
                            <w:bCs/>
                            <w:sz w:val="20"/>
                          </w:rPr>
                          <w:t>eliminácie duplicít,</w:t>
                        </w:r>
                        <w:r>
                          <w:rPr>
                            <w:rFonts w:eastAsia="Times New Roman"/>
                            <w:b/>
                            <w:bCs/>
                            <w:sz w:val="20"/>
                          </w:rPr>
                          <w:t xml:space="preserve"> má</w:t>
                        </w:r>
                        <w:r w:rsidRPr="00BC2ADE">
                          <w:rPr>
                            <w:rFonts w:eastAsia="Times New Roman"/>
                            <w:b/>
                            <w:bCs/>
                            <w:sz w:val="20"/>
                          </w:rPr>
                          <w:t xml:space="preserve"> ambíciu vytvoreni</w:t>
                        </w:r>
                        <w:r>
                          <w:rPr>
                            <w:rFonts w:eastAsia="Times New Roman"/>
                            <w:b/>
                            <w:bCs/>
                            <w:sz w:val="20"/>
                          </w:rPr>
                          <w:t>a</w:t>
                        </w:r>
                        <w:r w:rsidRPr="00BC2ADE">
                          <w:rPr>
                            <w:rFonts w:eastAsia="Times New Roman"/>
                            <w:b/>
                            <w:bCs/>
                            <w:sz w:val="20"/>
                          </w:rPr>
                          <w:t xml:space="preserve"> modulu zabezpečujúceho </w:t>
                        </w:r>
                        <w:proofErr w:type="spellStart"/>
                        <w:r w:rsidRPr="00BC2ADE">
                          <w:rPr>
                            <w:rFonts w:eastAsia="Times New Roman"/>
                            <w:b/>
                            <w:bCs/>
                            <w:sz w:val="20"/>
                          </w:rPr>
                          <w:t>interoperabilitu</w:t>
                        </w:r>
                        <w:proofErr w:type="spellEnd"/>
                        <w:r w:rsidRPr="00BC2ADE">
                          <w:rPr>
                            <w:rFonts w:eastAsia="Times New Roman"/>
                            <w:b/>
                            <w:bCs/>
                            <w:sz w:val="20"/>
                          </w:rPr>
                          <w:t xml:space="preserve"> informačného monitorovacieho systému na nové  PO 2021 – 2027</w:t>
                        </w:r>
                        <w:r>
                          <w:rPr>
                            <w:rFonts w:eastAsia="Times New Roman"/>
                            <w:b/>
                            <w:bCs/>
                            <w:sz w:val="20"/>
                          </w:rPr>
                          <w:t xml:space="preserve"> a </w:t>
                        </w:r>
                        <w:r w:rsidRPr="00BC2ADE">
                          <w:rPr>
                            <w:rFonts w:eastAsia="Times New Roman"/>
                            <w:b/>
                            <w:bCs/>
                            <w:sz w:val="20"/>
                          </w:rPr>
                          <w:t>IT</w:t>
                        </w:r>
                        <w:r>
                          <w:rPr>
                            <w:rFonts w:eastAsia="Times New Roman"/>
                            <w:b/>
                            <w:bCs/>
                            <w:sz w:val="20"/>
                          </w:rPr>
                          <w:t xml:space="preserve"> </w:t>
                        </w:r>
                        <w:r w:rsidRPr="00BC2ADE">
                          <w:rPr>
                            <w:rFonts w:eastAsia="Times New Roman"/>
                            <w:b/>
                            <w:bCs/>
                            <w:sz w:val="20"/>
                          </w:rPr>
                          <w:t>systému pre POO</w:t>
                        </w:r>
                      </w:p>
                    </w:txbxContent>
                  </v:textbox>
                </v:shape>
                <v:shape id="Šípka: doprava 15" o:spid="_x0000_s1055" type="#_x0000_t13" style="position:absolute;left:55246;top:8185;width:9697;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" adj="20221" fillcolor="#5b9bd5 [3204]" strokecolor="#1f4d78 [1604]" strokeweight="1pt"/>
                <v:shape id="Šípka: doprava 66" o:spid="_x0000_s1056" type="#_x0000_t13" style="position:absolute;left:56484;top:31417;width:8887;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" adj="20095" fillcolor="#5b9bd5 [3204]" strokecolor="#1f4d78 [1604]" strokeweight="1pt"/>
                <v:group id="Skupina 58" o:spid="_x0000_s1057" style="position:absolute;left:67124;top:12670;width:14240;height:12469" coordorigin=",-6665" coordsize="20480,2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Obdĺžnik: zaoblené horné rohy 51" o:spid="_x0000_s1058" style="position:absolute;top:2664;width:19094;height:10201;visibility:visible;mso-wrap-style:square;v-text-anchor:top" coordsize="1909414,102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" path="m170041,l1739373,v93911,,170041,76130,170041,170041l1909414,1020039r,l,1020039r,l,170041c,76130,76130,,170041,xe" fillcolor="#adccea [1620]" strokecolor="white [3201]" strokeweight="1pt">
                    <v:stroke joinstyle="miter"/>
                    <v:path arrowok="t" o:connecttype="custom" o:connectlocs="170041,0;1739373,0;1909414,170041;1909414,1020039;1909414,1020039;0,1020039;0,1020039;0,170041;170041,0" o:connectangles="0,0,0,0,0,0,0,0,0"/>
                  </v:shape>
                  <v:shape id="Obdĺžnik: zaoblené horné rohy 4" o:spid="_x0000_s1059" type="#_x0000_t202" style="position:absolute;left:326;top:-6665;width:20154;height:2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" filled="f" stroked="f">
                    <v:textbox inset="7.5pt,12.5pt,11.25pt,12.5pt">
                      <w:txbxContent>
                        <w:p w:rsidR="00100DEF" w:rsidRDefault="00100DEF" w:rsidP="00A02CE8">
                          <w:pPr>
                            <w:pStyle w:val="Normlnywebov"/>
                            <w:spacing w:before="0" w:beforeAutospacing="0" w:after="160" w:afterAutospacing="0" w:line="256" w:lineRule="auto"/>
                            <w:jc w:val="center"/>
                          </w:pPr>
                        </w:p>
                        <w:p w:rsidR="00100DEF" w:rsidRDefault="00100DEF" w:rsidP="00A02CE8"/>
                        <w:p w:rsidR="00100DEF" w:rsidRPr="00CE5F77" w:rsidRDefault="00100DEF" w:rsidP="00A02CE8">
                          <w:pPr>
                            <w:pStyle w:val="Normlnywebov"/>
                            <w:spacing w:before="0" w:beforeAutospacing="0" w:after="160" w:afterAutospacing="0" w:line="256" w:lineRule="auto"/>
                            <w:jc w:val="center"/>
                            <w:rPr>
                              <w:color w:val="833C0B" w:themeColor="accent2" w:themeShade="80"/>
                            </w:rPr>
                          </w:pPr>
                          <w:proofErr w:type="spellStart"/>
                          <w:r w:rsidRPr="00CE5F77">
                            <w:rPr>
                              <w:rFonts w:eastAsia="Calibri"/>
                              <w:color w:val="833C0B" w:themeColor="accent2" w:themeShade="80"/>
                              <w:sz w:val="22"/>
                              <w:szCs w:val="22"/>
                            </w:rPr>
                            <w:t>eCohesion</w:t>
                          </w:r>
                          <w:proofErr w:type="spellEnd"/>
                        </w:p>
                      </w:txbxContent>
                    </v:textbox>
                  </v:shape>
                </v:group>
                <w10:anchorlock/>
              </v:group>
            </w:pict>
          </mc:Fallback>
        </mc:AlternateContent>
      </w:r>
    </w:p>
    <w:sectPr w:rsidR="00006013" w:rsidSect="003A622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91" w:rsidRDefault="002B3E91" w:rsidP="005C1C46">
      <w:pPr>
        <w:spacing w:after="0" w:line="240" w:lineRule="auto"/>
      </w:pPr>
      <w:r>
        <w:separator/>
      </w:r>
    </w:p>
  </w:endnote>
  <w:endnote w:type="continuationSeparator" w:id="0">
    <w:p w:rsidR="002B3E91" w:rsidRDefault="002B3E91" w:rsidP="005C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16423"/>
      <w:docPartObj>
        <w:docPartGallery w:val="Page Numbers (Bottom of Page)"/>
        <w:docPartUnique/>
      </w:docPartObj>
    </w:sdtPr>
    <w:sdtEndPr/>
    <w:sdtContent>
      <w:p w:rsidR="00100DEF" w:rsidRDefault="00100DEF">
        <w:pPr>
          <w:pStyle w:val="Pta"/>
          <w:jc w:val="center"/>
        </w:pPr>
        <w:r>
          <w:fldChar w:fldCharType="begin"/>
        </w:r>
        <w:r>
          <w:instrText>PAGE   \* MERGEFORMAT</w:instrText>
        </w:r>
        <w:r>
          <w:fldChar w:fldCharType="separate"/>
        </w:r>
        <w:r w:rsidR="006F1346">
          <w:rPr>
            <w:noProof/>
          </w:rPr>
          <w:t>3</w:t>
        </w:r>
        <w:r>
          <w:fldChar w:fldCharType="end"/>
        </w:r>
      </w:p>
    </w:sdtContent>
  </w:sdt>
  <w:p w:rsidR="00100DEF" w:rsidRDefault="00100D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91" w:rsidRDefault="002B3E91" w:rsidP="005C1C46">
      <w:pPr>
        <w:spacing w:after="0" w:line="240" w:lineRule="auto"/>
      </w:pPr>
      <w:r>
        <w:separator/>
      </w:r>
    </w:p>
  </w:footnote>
  <w:footnote w:type="continuationSeparator" w:id="0">
    <w:p w:rsidR="002B3E91" w:rsidRDefault="002B3E91" w:rsidP="005C1C46">
      <w:pPr>
        <w:spacing w:after="0" w:line="240" w:lineRule="auto"/>
      </w:pPr>
      <w:r>
        <w:continuationSeparator/>
      </w:r>
    </w:p>
  </w:footnote>
  <w:footnote w:id="1">
    <w:p w:rsidR="00100DEF" w:rsidRPr="00613915" w:rsidRDefault="00100DEF" w:rsidP="00D71C19">
      <w:pPr>
        <w:pStyle w:val="Textpoznmkypodiarou"/>
        <w:ind w:left="142" w:hanging="142"/>
        <w:rPr>
          <w:sz w:val="16"/>
          <w:szCs w:val="16"/>
          <w:lang w:val="sk-SK"/>
        </w:rPr>
      </w:pPr>
      <w:r w:rsidRPr="00613915">
        <w:rPr>
          <w:rStyle w:val="Odkaznapoznmkupodiarou"/>
          <w:b w:val="0"/>
          <w:sz w:val="16"/>
          <w:szCs w:val="16"/>
        </w:rPr>
        <w:footnoteRef/>
      </w:r>
      <w:r w:rsidRPr="00613915">
        <w:rPr>
          <w:sz w:val="16"/>
          <w:szCs w:val="16"/>
        </w:rPr>
        <w:t xml:space="preserve"> ttps://ec.europa.eu/info/research-and-innovation/funding/funding-opportunities/funding-programmes-and-open-calls/horizon-europe/eu-missions-horizon-europe_en</w:t>
      </w:r>
    </w:p>
  </w:footnote>
  <w:footnote w:id="2">
    <w:p w:rsidR="00100DEF" w:rsidRPr="003732E1" w:rsidRDefault="00100DEF" w:rsidP="00D71C19">
      <w:pPr>
        <w:spacing w:after="0" w:line="240" w:lineRule="auto"/>
        <w:ind w:left="142" w:hanging="142"/>
        <w:rPr>
          <w:sz w:val="16"/>
          <w:szCs w:val="16"/>
        </w:rPr>
      </w:pPr>
      <w:r w:rsidRPr="00613915">
        <w:rPr>
          <w:rStyle w:val="Odkaznapoznmkupodiarou"/>
          <w:b w:val="0"/>
          <w:sz w:val="16"/>
          <w:szCs w:val="16"/>
        </w:rPr>
        <w:footnoteRef/>
      </w:r>
      <w:r w:rsidRPr="00613915">
        <w:rPr>
          <w:sz w:val="16"/>
          <w:szCs w:val="16"/>
        </w:rPr>
        <w:t xml:space="preserve"> Napr. v rámci The European Strategic Energy Technology Plan, </w:t>
      </w:r>
      <w:hyperlink r:id="rId1" w:history="1">
        <w:r w:rsidRPr="00613915">
          <w:rPr>
            <w:rStyle w:val="Hypertextovprepojenie"/>
            <w:sz w:val="16"/>
            <w:szCs w:val="16"/>
          </w:rPr>
          <w:t>https://energy.ec.europa.eu/topics/research-technology-and-innovation/strategic-energy-technology-plan_en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999"/>
    <w:multiLevelType w:val="multilevel"/>
    <w:tmpl w:val="F478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835EC"/>
    <w:multiLevelType w:val="multilevel"/>
    <w:tmpl w:val="B6CEA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C7246"/>
    <w:multiLevelType w:val="hybridMultilevel"/>
    <w:tmpl w:val="8B8AC3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1FE40B4"/>
    <w:multiLevelType w:val="multilevel"/>
    <w:tmpl w:val="0A8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8C54F7"/>
    <w:multiLevelType w:val="hybridMultilevel"/>
    <w:tmpl w:val="7FD44846"/>
    <w:lvl w:ilvl="0" w:tplc="2A5A410C">
      <w:start w:val="1"/>
      <w:numFmt w:val="bullet"/>
      <w:lvlText w:val=""/>
      <w:lvlJc w:val="left"/>
      <w:pPr>
        <w:ind w:left="720" w:hanging="360"/>
      </w:pPr>
      <w:rPr>
        <w:rFonts w:ascii="Symbol" w:hAnsi="Symbol" w:hint="default"/>
        <w:color w:val="1F4E79" w:themeColor="accent1" w:themeShade="8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5C599A"/>
    <w:multiLevelType w:val="multilevel"/>
    <w:tmpl w:val="3F36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9155EA"/>
    <w:multiLevelType w:val="multilevel"/>
    <w:tmpl w:val="50AA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4C2915"/>
    <w:multiLevelType w:val="multilevel"/>
    <w:tmpl w:val="7F96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37226D"/>
    <w:multiLevelType w:val="hybridMultilevel"/>
    <w:tmpl w:val="9F227272"/>
    <w:lvl w:ilvl="0" w:tplc="821611C2">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641616E"/>
    <w:multiLevelType w:val="hybridMultilevel"/>
    <w:tmpl w:val="FE3A94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8"/>
  </w:num>
  <w:num w:numId="6">
    <w:abstractNumId w:val="4"/>
  </w:num>
  <w:num w:numId="7">
    <w:abstractNumId w:val="5"/>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20"/>
    <w:rsid w:val="00006013"/>
    <w:rsid w:val="00015CC3"/>
    <w:rsid w:val="00030C84"/>
    <w:rsid w:val="000317DC"/>
    <w:rsid w:val="00035824"/>
    <w:rsid w:val="00040DE1"/>
    <w:rsid w:val="000442D4"/>
    <w:rsid w:val="000445AF"/>
    <w:rsid w:val="00047A22"/>
    <w:rsid w:val="00097E74"/>
    <w:rsid w:val="000A35BE"/>
    <w:rsid w:val="000A3C27"/>
    <w:rsid w:val="000A5AC4"/>
    <w:rsid w:val="000B13F0"/>
    <w:rsid w:val="000B2CEC"/>
    <w:rsid w:val="000B56B7"/>
    <w:rsid w:val="000C0B7D"/>
    <w:rsid w:val="000C33FE"/>
    <w:rsid w:val="000D1A10"/>
    <w:rsid w:val="000E684B"/>
    <w:rsid w:val="00100DEF"/>
    <w:rsid w:val="00104EF7"/>
    <w:rsid w:val="00105370"/>
    <w:rsid w:val="0010763E"/>
    <w:rsid w:val="00112B94"/>
    <w:rsid w:val="00117339"/>
    <w:rsid w:val="001413B9"/>
    <w:rsid w:val="00146DE7"/>
    <w:rsid w:val="00165889"/>
    <w:rsid w:val="00184FAD"/>
    <w:rsid w:val="00190860"/>
    <w:rsid w:val="001A63BB"/>
    <w:rsid w:val="001C71D7"/>
    <w:rsid w:val="001E70C9"/>
    <w:rsid w:val="00210C7E"/>
    <w:rsid w:val="00231F12"/>
    <w:rsid w:val="00233065"/>
    <w:rsid w:val="002335FD"/>
    <w:rsid w:val="00236EFC"/>
    <w:rsid w:val="00237A0A"/>
    <w:rsid w:val="00243167"/>
    <w:rsid w:val="0024484A"/>
    <w:rsid w:val="0025709A"/>
    <w:rsid w:val="00273463"/>
    <w:rsid w:val="00281F50"/>
    <w:rsid w:val="00291A10"/>
    <w:rsid w:val="00296833"/>
    <w:rsid w:val="002A75C6"/>
    <w:rsid w:val="002B3E91"/>
    <w:rsid w:val="002B3ECC"/>
    <w:rsid w:val="002C6294"/>
    <w:rsid w:val="002F51E1"/>
    <w:rsid w:val="00321207"/>
    <w:rsid w:val="003230AE"/>
    <w:rsid w:val="00350123"/>
    <w:rsid w:val="00375557"/>
    <w:rsid w:val="00391F52"/>
    <w:rsid w:val="003A6220"/>
    <w:rsid w:val="003B3CC1"/>
    <w:rsid w:val="003B6E6F"/>
    <w:rsid w:val="003C2A95"/>
    <w:rsid w:val="003F6483"/>
    <w:rsid w:val="004010EB"/>
    <w:rsid w:val="00401223"/>
    <w:rsid w:val="004017E8"/>
    <w:rsid w:val="0041062E"/>
    <w:rsid w:val="00412545"/>
    <w:rsid w:val="004269D8"/>
    <w:rsid w:val="00432835"/>
    <w:rsid w:val="00461C59"/>
    <w:rsid w:val="00484E18"/>
    <w:rsid w:val="004860DA"/>
    <w:rsid w:val="00487FC9"/>
    <w:rsid w:val="00491B55"/>
    <w:rsid w:val="004949CA"/>
    <w:rsid w:val="0049541E"/>
    <w:rsid w:val="004A0FF0"/>
    <w:rsid w:val="004A55DB"/>
    <w:rsid w:val="004C0501"/>
    <w:rsid w:val="004C6546"/>
    <w:rsid w:val="004D0ADA"/>
    <w:rsid w:val="004D2DF6"/>
    <w:rsid w:val="004D35E4"/>
    <w:rsid w:val="004D7753"/>
    <w:rsid w:val="004D7E04"/>
    <w:rsid w:val="004E7B0B"/>
    <w:rsid w:val="004F25C5"/>
    <w:rsid w:val="00501AFE"/>
    <w:rsid w:val="00514067"/>
    <w:rsid w:val="005353E8"/>
    <w:rsid w:val="00543251"/>
    <w:rsid w:val="00544965"/>
    <w:rsid w:val="00556158"/>
    <w:rsid w:val="00560866"/>
    <w:rsid w:val="00565B6C"/>
    <w:rsid w:val="00577327"/>
    <w:rsid w:val="0058342F"/>
    <w:rsid w:val="005926FF"/>
    <w:rsid w:val="005A62DF"/>
    <w:rsid w:val="005A6971"/>
    <w:rsid w:val="005A6FF5"/>
    <w:rsid w:val="005C1C46"/>
    <w:rsid w:val="005C34A3"/>
    <w:rsid w:val="005C70E8"/>
    <w:rsid w:val="005D6345"/>
    <w:rsid w:val="005E0F5B"/>
    <w:rsid w:val="005E15D3"/>
    <w:rsid w:val="005E70C3"/>
    <w:rsid w:val="00601291"/>
    <w:rsid w:val="006021C4"/>
    <w:rsid w:val="00632F48"/>
    <w:rsid w:val="00651ACA"/>
    <w:rsid w:val="00651F22"/>
    <w:rsid w:val="006575B7"/>
    <w:rsid w:val="00663DEE"/>
    <w:rsid w:val="00665418"/>
    <w:rsid w:val="006701E7"/>
    <w:rsid w:val="00675CC1"/>
    <w:rsid w:val="0067786F"/>
    <w:rsid w:val="00677D5F"/>
    <w:rsid w:val="00680745"/>
    <w:rsid w:val="00681A58"/>
    <w:rsid w:val="006919EF"/>
    <w:rsid w:val="0069771C"/>
    <w:rsid w:val="006A4AA4"/>
    <w:rsid w:val="006B1B91"/>
    <w:rsid w:val="006B50A1"/>
    <w:rsid w:val="006B5920"/>
    <w:rsid w:val="006B78BE"/>
    <w:rsid w:val="006F1346"/>
    <w:rsid w:val="006F527F"/>
    <w:rsid w:val="00701ED7"/>
    <w:rsid w:val="00710F07"/>
    <w:rsid w:val="007201CD"/>
    <w:rsid w:val="00726E2F"/>
    <w:rsid w:val="00730F5C"/>
    <w:rsid w:val="007422F3"/>
    <w:rsid w:val="0075585D"/>
    <w:rsid w:val="00761835"/>
    <w:rsid w:val="00763E75"/>
    <w:rsid w:val="00765BEA"/>
    <w:rsid w:val="00782744"/>
    <w:rsid w:val="00792F68"/>
    <w:rsid w:val="00793AA1"/>
    <w:rsid w:val="007B12E5"/>
    <w:rsid w:val="007C6BFF"/>
    <w:rsid w:val="007E1749"/>
    <w:rsid w:val="007E22BB"/>
    <w:rsid w:val="007E568E"/>
    <w:rsid w:val="007E7475"/>
    <w:rsid w:val="007F4DF6"/>
    <w:rsid w:val="007F6662"/>
    <w:rsid w:val="00835C35"/>
    <w:rsid w:val="008430D2"/>
    <w:rsid w:val="00843FFB"/>
    <w:rsid w:val="00844E27"/>
    <w:rsid w:val="00855D52"/>
    <w:rsid w:val="008576CF"/>
    <w:rsid w:val="008C172E"/>
    <w:rsid w:val="008C28CE"/>
    <w:rsid w:val="008F12C2"/>
    <w:rsid w:val="008F3CBC"/>
    <w:rsid w:val="00917609"/>
    <w:rsid w:val="009234CD"/>
    <w:rsid w:val="0093689F"/>
    <w:rsid w:val="0094184D"/>
    <w:rsid w:val="009517A5"/>
    <w:rsid w:val="0096385D"/>
    <w:rsid w:val="00965329"/>
    <w:rsid w:val="009724CA"/>
    <w:rsid w:val="009809B8"/>
    <w:rsid w:val="009868A8"/>
    <w:rsid w:val="00994952"/>
    <w:rsid w:val="00997268"/>
    <w:rsid w:val="009A1721"/>
    <w:rsid w:val="009B10DA"/>
    <w:rsid w:val="009C39E4"/>
    <w:rsid w:val="009C7118"/>
    <w:rsid w:val="00A02CE8"/>
    <w:rsid w:val="00A13CC3"/>
    <w:rsid w:val="00A20198"/>
    <w:rsid w:val="00A24710"/>
    <w:rsid w:val="00A3351F"/>
    <w:rsid w:val="00A37A18"/>
    <w:rsid w:val="00A461E4"/>
    <w:rsid w:val="00A61275"/>
    <w:rsid w:val="00A66117"/>
    <w:rsid w:val="00A958F9"/>
    <w:rsid w:val="00AB3CD8"/>
    <w:rsid w:val="00AB4D1B"/>
    <w:rsid w:val="00AB5703"/>
    <w:rsid w:val="00AB6D68"/>
    <w:rsid w:val="00AC0910"/>
    <w:rsid w:val="00AE1ED9"/>
    <w:rsid w:val="00AF12E8"/>
    <w:rsid w:val="00B05C13"/>
    <w:rsid w:val="00B14012"/>
    <w:rsid w:val="00B27BE5"/>
    <w:rsid w:val="00B37411"/>
    <w:rsid w:val="00B42805"/>
    <w:rsid w:val="00B42827"/>
    <w:rsid w:val="00B51239"/>
    <w:rsid w:val="00B573EE"/>
    <w:rsid w:val="00B74EBD"/>
    <w:rsid w:val="00B95747"/>
    <w:rsid w:val="00BA0F34"/>
    <w:rsid w:val="00BA53A4"/>
    <w:rsid w:val="00BB4AAA"/>
    <w:rsid w:val="00BB5363"/>
    <w:rsid w:val="00BC2ADE"/>
    <w:rsid w:val="00BC762C"/>
    <w:rsid w:val="00BF50AC"/>
    <w:rsid w:val="00C061A1"/>
    <w:rsid w:val="00C111E0"/>
    <w:rsid w:val="00C152D8"/>
    <w:rsid w:val="00C431C5"/>
    <w:rsid w:val="00C47256"/>
    <w:rsid w:val="00C54B4F"/>
    <w:rsid w:val="00C659F9"/>
    <w:rsid w:val="00C67184"/>
    <w:rsid w:val="00C67D0B"/>
    <w:rsid w:val="00C67FB3"/>
    <w:rsid w:val="00C83A28"/>
    <w:rsid w:val="00C83EFB"/>
    <w:rsid w:val="00C95F50"/>
    <w:rsid w:val="00CA2CDD"/>
    <w:rsid w:val="00CA6D84"/>
    <w:rsid w:val="00CC2740"/>
    <w:rsid w:val="00CC312E"/>
    <w:rsid w:val="00CE5AC4"/>
    <w:rsid w:val="00D01B40"/>
    <w:rsid w:val="00D2087C"/>
    <w:rsid w:val="00D217FA"/>
    <w:rsid w:val="00D24DF2"/>
    <w:rsid w:val="00D43C49"/>
    <w:rsid w:val="00D447DC"/>
    <w:rsid w:val="00D52931"/>
    <w:rsid w:val="00D6135A"/>
    <w:rsid w:val="00D65D21"/>
    <w:rsid w:val="00D71C19"/>
    <w:rsid w:val="00D76A3B"/>
    <w:rsid w:val="00D772F4"/>
    <w:rsid w:val="00D8470C"/>
    <w:rsid w:val="00DA7401"/>
    <w:rsid w:val="00DA74F9"/>
    <w:rsid w:val="00DC2B00"/>
    <w:rsid w:val="00DC793F"/>
    <w:rsid w:val="00DF405E"/>
    <w:rsid w:val="00DF44AC"/>
    <w:rsid w:val="00E34A6F"/>
    <w:rsid w:val="00E82A90"/>
    <w:rsid w:val="00E91A0B"/>
    <w:rsid w:val="00E9246D"/>
    <w:rsid w:val="00EB2833"/>
    <w:rsid w:val="00EE42AF"/>
    <w:rsid w:val="00EF0988"/>
    <w:rsid w:val="00EF0C01"/>
    <w:rsid w:val="00EF39E6"/>
    <w:rsid w:val="00EF51AB"/>
    <w:rsid w:val="00EF60DD"/>
    <w:rsid w:val="00F25BEE"/>
    <w:rsid w:val="00F4227F"/>
    <w:rsid w:val="00F457A5"/>
    <w:rsid w:val="00F501E8"/>
    <w:rsid w:val="00F553CB"/>
    <w:rsid w:val="00F84252"/>
    <w:rsid w:val="00F956AA"/>
    <w:rsid w:val="00FA0FB8"/>
    <w:rsid w:val="00FA1A54"/>
    <w:rsid w:val="00FA6DA2"/>
    <w:rsid w:val="00FB1B1C"/>
    <w:rsid w:val="00FB2AEB"/>
    <w:rsid w:val="00FC34DF"/>
    <w:rsid w:val="00FC4A23"/>
    <w:rsid w:val="00FF1031"/>
    <w:rsid w:val="00FF1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5285"/>
  <w15:chartTrackingRefBased/>
  <w15:docId w15:val="{C78382EA-CED6-4BB2-9477-2558569D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A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006013"/>
    <w:pPr>
      <w:spacing w:before="100" w:beforeAutospacing="1" w:after="100" w:afterAutospacing="1" w:line="240" w:lineRule="auto"/>
    </w:pPr>
    <w:rPr>
      <w:rFonts w:ascii="Times New Roman" w:eastAsiaTheme="minorEastAsia" w:hAnsi="Times New Roman" w:cs="Times New Roman"/>
      <w:sz w:val="24"/>
      <w:szCs w:val="24"/>
      <w:lang w:eastAsia="sk-SK"/>
    </w:rPr>
  </w:style>
  <w:style w:type="paragraph" w:customStyle="1" w:styleId="Default">
    <w:name w:val="Default"/>
    <w:uiPriority w:val="99"/>
    <w:rsid w:val="00CA6D84"/>
    <w:pPr>
      <w:autoSpaceDE w:val="0"/>
      <w:autoSpaceDN w:val="0"/>
      <w:adjustRightInd w:val="0"/>
      <w:spacing w:after="0" w:line="240" w:lineRule="auto"/>
    </w:pPr>
    <w:rPr>
      <w:rFonts w:ascii="Symbol" w:hAnsi="Symbol" w:cs="Symbol"/>
      <w:color w:val="000000"/>
      <w:sz w:val="24"/>
      <w:szCs w:val="24"/>
    </w:rPr>
  </w:style>
  <w:style w:type="character" w:styleId="Siln">
    <w:name w:val="Strong"/>
    <w:basedOn w:val="Predvolenpsmoodseku"/>
    <w:uiPriority w:val="22"/>
    <w:qFormat/>
    <w:rsid w:val="00FC34DF"/>
    <w:rPr>
      <w:b/>
      <w:bCs/>
    </w:rPr>
  </w:style>
  <w:style w:type="paragraph" w:styleId="Odsekzoznamu">
    <w:name w:val="List Paragraph"/>
    <w:aliases w:val="List Paragraph compact,Normal bullet 2,Paragraphe de liste 2,Reference list,Bullet list,Numbered List,List Paragraph1,1st level - Bullet List Paragraph,Lettre d'introduction,Paragraph,Bullet EY,List Paragraph11,Normal bullet 21,List L1,L,2"/>
    <w:basedOn w:val="Normlny"/>
    <w:link w:val="OdsekzoznamuChar"/>
    <w:uiPriority w:val="34"/>
    <w:qFormat/>
    <w:rsid w:val="00726E2F"/>
    <w:pPr>
      <w:ind w:left="720"/>
      <w:contextualSpacing/>
    </w:pPr>
  </w:style>
  <w:style w:type="character" w:customStyle="1" w:styleId="OdsekzoznamuChar">
    <w:name w:val="Odsek zoznamu Char"/>
    <w:aliases w:val="List Paragraph compact Char,Normal bullet 2 Char,Paragraphe de liste 2 Char,Reference list Char,Bullet list Char,Numbered List Char,List Paragraph1 Char,1st level - Bullet List Paragraph Char,Lettre d'introduction Char,Paragraph Char"/>
    <w:link w:val="Odsekzoznamu"/>
    <w:uiPriority w:val="34"/>
    <w:qFormat/>
    <w:locked/>
    <w:rsid w:val="00C061A1"/>
  </w:style>
  <w:style w:type="character" w:styleId="Odkaznakomentr">
    <w:name w:val="annotation reference"/>
    <w:basedOn w:val="Predvolenpsmoodseku"/>
    <w:uiPriority w:val="99"/>
    <w:unhideWhenUsed/>
    <w:rsid w:val="009C7118"/>
    <w:rPr>
      <w:sz w:val="16"/>
      <w:szCs w:val="16"/>
    </w:rPr>
  </w:style>
  <w:style w:type="paragraph" w:styleId="Textkomentra">
    <w:name w:val="annotation text"/>
    <w:basedOn w:val="Normlny"/>
    <w:link w:val="TextkomentraChar"/>
    <w:uiPriority w:val="99"/>
    <w:unhideWhenUsed/>
    <w:rsid w:val="009C7118"/>
    <w:pPr>
      <w:spacing w:line="240" w:lineRule="auto"/>
    </w:pPr>
    <w:rPr>
      <w:sz w:val="20"/>
      <w:szCs w:val="20"/>
    </w:rPr>
  </w:style>
  <w:style w:type="character" w:customStyle="1" w:styleId="TextkomentraChar">
    <w:name w:val="Text komentára Char"/>
    <w:basedOn w:val="Predvolenpsmoodseku"/>
    <w:link w:val="Textkomentra"/>
    <w:uiPriority w:val="99"/>
    <w:rsid w:val="009C7118"/>
    <w:rPr>
      <w:sz w:val="20"/>
      <w:szCs w:val="20"/>
    </w:rPr>
  </w:style>
  <w:style w:type="paragraph" w:styleId="Textbubliny">
    <w:name w:val="Balloon Text"/>
    <w:basedOn w:val="Normlny"/>
    <w:link w:val="TextbublinyChar"/>
    <w:uiPriority w:val="99"/>
    <w:semiHidden/>
    <w:unhideWhenUsed/>
    <w:rsid w:val="009C71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7118"/>
    <w:rPr>
      <w:rFonts w:ascii="Segoe UI" w:hAnsi="Segoe UI" w:cs="Segoe UI"/>
      <w:sz w:val="18"/>
      <w:szCs w:val="18"/>
    </w:rPr>
  </w:style>
  <w:style w:type="paragraph" w:styleId="Hlavika">
    <w:name w:val="header"/>
    <w:basedOn w:val="Normlny"/>
    <w:link w:val="HlavikaChar"/>
    <w:uiPriority w:val="99"/>
    <w:unhideWhenUsed/>
    <w:rsid w:val="005C1C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1C46"/>
  </w:style>
  <w:style w:type="paragraph" w:styleId="Pta">
    <w:name w:val="footer"/>
    <w:basedOn w:val="Normlny"/>
    <w:link w:val="PtaChar"/>
    <w:uiPriority w:val="99"/>
    <w:unhideWhenUsed/>
    <w:rsid w:val="005C1C46"/>
    <w:pPr>
      <w:tabs>
        <w:tab w:val="center" w:pos="4536"/>
        <w:tab w:val="right" w:pos="9072"/>
      </w:tabs>
      <w:spacing w:after="0" w:line="240" w:lineRule="auto"/>
    </w:pPr>
  </w:style>
  <w:style w:type="character" w:customStyle="1" w:styleId="PtaChar">
    <w:name w:val="Päta Char"/>
    <w:basedOn w:val="Predvolenpsmoodseku"/>
    <w:link w:val="Pta"/>
    <w:uiPriority w:val="99"/>
    <w:rsid w:val="005C1C46"/>
  </w:style>
  <w:style w:type="paragraph" w:styleId="Textpoznmkypodiarou">
    <w:name w:val="footnote text"/>
    <w:aliases w:val="Schriftart: 9 pt,Schriftart: 10 pt,Schriftart: 8 pt,WB-Fußnotentext,FoodNote,ft,Footnote text,Footnote Text Char Char,Footnote Text Char1 Char Char,Footnote Text Char Char Char Char,fn,f,Char,Voetnoottekst Char"/>
    <w:basedOn w:val="Normlny"/>
    <w:link w:val="TextpoznmkypodiarouChar"/>
    <w:uiPriority w:val="99"/>
    <w:unhideWhenUsed/>
    <w:rsid w:val="00D71C19"/>
    <w:pPr>
      <w:spacing w:after="0" w:line="240" w:lineRule="auto"/>
      <w:ind w:left="720" w:hanging="720"/>
    </w:pPr>
    <w:rPr>
      <w:rFonts w:ascii="Times New Roman" w:hAnsi="Times New Roman" w:cs="Times New Roman"/>
      <w:sz w:val="24"/>
      <w:szCs w:val="20"/>
      <w:lang w:val="en-GB"/>
    </w:rPr>
  </w:style>
  <w:style w:type="character" w:customStyle="1" w:styleId="TextpoznmkypodiarouChar">
    <w:name w:val="Text poznámky pod čiarou Char"/>
    <w:aliases w:val="Schriftart: 9 pt Char,Schriftart: 10 pt Char,Schriftart: 8 pt Char,WB-Fußnotentext Char,FoodNote Char,ft Char,Footnote text Char,Footnote Text Char Char Char,Footnote Text Char1 Char Char Char,fn Char,f Char,Char Char"/>
    <w:basedOn w:val="Predvolenpsmoodseku"/>
    <w:link w:val="Textpoznmkypodiarou"/>
    <w:uiPriority w:val="99"/>
    <w:rsid w:val="00D71C19"/>
    <w:rPr>
      <w:rFonts w:ascii="Times New Roman" w:hAnsi="Times New Roman" w:cs="Times New Roman"/>
      <w:sz w:val="24"/>
      <w:szCs w:val="20"/>
      <w:lang w:val="en-GB"/>
    </w:rPr>
  </w:style>
  <w:style w:type="character" w:styleId="Odkaznapoznmkupodiarou">
    <w:name w:val="footnote reference"/>
    <w:aliases w:val="Footnote,Footnote number,Footnote symbol,Footnote Reference Number,Footnote reference number,Times 10 Point,Exposant 3 Point,Footnote Reference Superscript,EN Footnote Reference,note TESI,Voetnootverwijzing,fr,o,FR,FR1"/>
    <w:basedOn w:val="Predvolenpsmoodseku"/>
    <w:uiPriority w:val="99"/>
    <w:unhideWhenUsed/>
    <w:qFormat/>
    <w:rsid w:val="00D71C19"/>
    <w:rPr>
      <w:b/>
      <w:shd w:val="clear" w:color="auto" w:fill="auto"/>
      <w:vertAlign w:val="superscript"/>
    </w:rPr>
  </w:style>
  <w:style w:type="character" w:styleId="Hypertextovprepojenie">
    <w:name w:val="Hyperlink"/>
    <w:uiPriority w:val="99"/>
    <w:unhideWhenUsed/>
    <w:rsid w:val="00D71C19"/>
    <w:rPr>
      <w:color w:val="0000FF"/>
      <w:u w:val="single"/>
    </w:rPr>
  </w:style>
  <w:style w:type="paragraph" w:styleId="Predmetkomentra">
    <w:name w:val="annotation subject"/>
    <w:basedOn w:val="Textkomentra"/>
    <w:next w:val="Textkomentra"/>
    <w:link w:val="PredmetkomentraChar"/>
    <w:uiPriority w:val="99"/>
    <w:semiHidden/>
    <w:unhideWhenUsed/>
    <w:rsid w:val="004017E8"/>
    <w:rPr>
      <w:b/>
      <w:bCs/>
    </w:rPr>
  </w:style>
  <w:style w:type="character" w:customStyle="1" w:styleId="PredmetkomentraChar">
    <w:name w:val="Predmet komentára Char"/>
    <w:basedOn w:val="TextkomentraChar"/>
    <w:link w:val="Predmetkomentra"/>
    <w:uiPriority w:val="99"/>
    <w:semiHidden/>
    <w:rsid w:val="00401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7257">
      <w:bodyDiv w:val="1"/>
      <w:marLeft w:val="0"/>
      <w:marRight w:val="0"/>
      <w:marTop w:val="0"/>
      <w:marBottom w:val="0"/>
      <w:divBdr>
        <w:top w:val="none" w:sz="0" w:space="0" w:color="auto"/>
        <w:left w:val="none" w:sz="0" w:space="0" w:color="auto"/>
        <w:bottom w:val="none" w:sz="0" w:space="0" w:color="auto"/>
        <w:right w:val="none" w:sz="0" w:space="0" w:color="auto"/>
      </w:divBdr>
    </w:div>
    <w:div w:id="87116065">
      <w:bodyDiv w:val="1"/>
      <w:marLeft w:val="0"/>
      <w:marRight w:val="0"/>
      <w:marTop w:val="0"/>
      <w:marBottom w:val="0"/>
      <w:divBdr>
        <w:top w:val="none" w:sz="0" w:space="0" w:color="auto"/>
        <w:left w:val="none" w:sz="0" w:space="0" w:color="auto"/>
        <w:bottom w:val="none" w:sz="0" w:space="0" w:color="auto"/>
        <w:right w:val="none" w:sz="0" w:space="0" w:color="auto"/>
      </w:divBdr>
    </w:div>
    <w:div w:id="468791249">
      <w:bodyDiv w:val="1"/>
      <w:marLeft w:val="0"/>
      <w:marRight w:val="0"/>
      <w:marTop w:val="0"/>
      <w:marBottom w:val="0"/>
      <w:divBdr>
        <w:top w:val="none" w:sz="0" w:space="0" w:color="auto"/>
        <w:left w:val="none" w:sz="0" w:space="0" w:color="auto"/>
        <w:bottom w:val="none" w:sz="0" w:space="0" w:color="auto"/>
        <w:right w:val="none" w:sz="0" w:space="0" w:color="auto"/>
      </w:divBdr>
    </w:div>
    <w:div w:id="563299726">
      <w:bodyDiv w:val="1"/>
      <w:marLeft w:val="0"/>
      <w:marRight w:val="0"/>
      <w:marTop w:val="0"/>
      <w:marBottom w:val="0"/>
      <w:divBdr>
        <w:top w:val="none" w:sz="0" w:space="0" w:color="auto"/>
        <w:left w:val="none" w:sz="0" w:space="0" w:color="auto"/>
        <w:bottom w:val="none" w:sz="0" w:space="0" w:color="auto"/>
        <w:right w:val="none" w:sz="0" w:space="0" w:color="auto"/>
      </w:divBdr>
    </w:div>
    <w:div w:id="710804836">
      <w:bodyDiv w:val="1"/>
      <w:marLeft w:val="0"/>
      <w:marRight w:val="0"/>
      <w:marTop w:val="0"/>
      <w:marBottom w:val="0"/>
      <w:divBdr>
        <w:top w:val="none" w:sz="0" w:space="0" w:color="auto"/>
        <w:left w:val="none" w:sz="0" w:space="0" w:color="auto"/>
        <w:bottom w:val="none" w:sz="0" w:space="0" w:color="auto"/>
        <w:right w:val="none" w:sz="0" w:space="0" w:color="auto"/>
      </w:divBdr>
    </w:div>
    <w:div w:id="764496946">
      <w:bodyDiv w:val="1"/>
      <w:marLeft w:val="0"/>
      <w:marRight w:val="0"/>
      <w:marTop w:val="0"/>
      <w:marBottom w:val="0"/>
      <w:divBdr>
        <w:top w:val="none" w:sz="0" w:space="0" w:color="auto"/>
        <w:left w:val="none" w:sz="0" w:space="0" w:color="auto"/>
        <w:bottom w:val="none" w:sz="0" w:space="0" w:color="auto"/>
        <w:right w:val="none" w:sz="0" w:space="0" w:color="auto"/>
      </w:divBdr>
    </w:div>
    <w:div w:id="800727541">
      <w:bodyDiv w:val="1"/>
      <w:marLeft w:val="0"/>
      <w:marRight w:val="0"/>
      <w:marTop w:val="0"/>
      <w:marBottom w:val="0"/>
      <w:divBdr>
        <w:top w:val="none" w:sz="0" w:space="0" w:color="auto"/>
        <w:left w:val="none" w:sz="0" w:space="0" w:color="auto"/>
        <w:bottom w:val="none" w:sz="0" w:space="0" w:color="auto"/>
        <w:right w:val="none" w:sz="0" w:space="0" w:color="auto"/>
      </w:divBdr>
    </w:div>
    <w:div w:id="899024854">
      <w:bodyDiv w:val="1"/>
      <w:marLeft w:val="0"/>
      <w:marRight w:val="0"/>
      <w:marTop w:val="0"/>
      <w:marBottom w:val="0"/>
      <w:divBdr>
        <w:top w:val="none" w:sz="0" w:space="0" w:color="auto"/>
        <w:left w:val="none" w:sz="0" w:space="0" w:color="auto"/>
        <w:bottom w:val="none" w:sz="0" w:space="0" w:color="auto"/>
        <w:right w:val="none" w:sz="0" w:space="0" w:color="auto"/>
      </w:divBdr>
    </w:div>
    <w:div w:id="1152914011">
      <w:bodyDiv w:val="1"/>
      <w:marLeft w:val="0"/>
      <w:marRight w:val="0"/>
      <w:marTop w:val="0"/>
      <w:marBottom w:val="0"/>
      <w:divBdr>
        <w:top w:val="none" w:sz="0" w:space="0" w:color="auto"/>
        <w:left w:val="none" w:sz="0" w:space="0" w:color="auto"/>
        <w:bottom w:val="none" w:sz="0" w:space="0" w:color="auto"/>
        <w:right w:val="none" w:sz="0" w:space="0" w:color="auto"/>
      </w:divBdr>
    </w:div>
    <w:div w:id="1410038291">
      <w:bodyDiv w:val="1"/>
      <w:marLeft w:val="0"/>
      <w:marRight w:val="0"/>
      <w:marTop w:val="0"/>
      <w:marBottom w:val="0"/>
      <w:divBdr>
        <w:top w:val="none" w:sz="0" w:space="0" w:color="auto"/>
        <w:left w:val="none" w:sz="0" w:space="0" w:color="auto"/>
        <w:bottom w:val="none" w:sz="0" w:space="0" w:color="auto"/>
        <w:right w:val="none" w:sz="0" w:space="0" w:color="auto"/>
      </w:divBdr>
    </w:div>
    <w:div w:id="1718508727">
      <w:bodyDiv w:val="1"/>
      <w:marLeft w:val="0"/>
      <w:marRight w:val="0"/>
      <w:marTop w:val="0"/>
      <w:marBottom w:val="0"/>
      <w:divBdr>
        <w:top w:val="none" w:sz="0" w:space="0" w:color="auto"/>
        <w:left w:val="none" w:sz="0" w:space="0" w:color="auto"/>
        <w:bottom w:val="none" w:sz="0" w:space="0" w:color="auto"/>
        <w:right w:val="none" w:sz="0" w:space="0" w:color="auto"/>
      </w:divBdr>
    </w:div>
    <w:div w:id="19357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ergy.ec.europa.eu/topics/research-technology-and-innovation/strategic-energy-technology-plan_en"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79DB-8A4E-4D68-AAD7-D3A45614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12299</Words>
  <Characters>70107</Characters>
  <Application>Microsoft Office Word</Application>
  <DocSecurity>0</DocSecurity>
  <Lines>584</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 Ladislav</dc:creator>
  <cp:keywords/>
  <dc:description/>
  <cp:lastModifiedBy>Šimko, Ladislav</cp:lastModifiedBy>
  <cp:revision>9</cp:revision>
  <cp:lastPrinted>2022-06-15T11:09:00Z</cp:lastPrinted>
  <dcterms:created xsi:type="dcterms:W3CDTF">2022-10-27T06:46:00Z</dcterms:created>
  <dcterms:modified xsi:type="dcterms:W3CDTF">2022-10-27T14:20:00Z</dcterms:modified>
</cp:coreProperties>
</file>